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C6" w:rsidRPr="00760B7D" w:rsidRDefault="008D48C6" w:rsidP="00593CFB">
      <w:pPr>
        <w:pStyle w:val="BodyText"/>
        <w:autoSpaceDE/>
        <w:autoSpaceDN/>
        <w:spacing w:before="60" w:after="120"/>
        <w:jc w:val="center"/>
        <w:rPr>
          <w:rFonts w:ascii="Times New Roman" w:hAnsi="Times New Roman" w:cs="Times New Roman"/>
          <w:b/>
          <w:bCs/>
          <w:i/>
          <w:iCs/>
          <w:sz w:val="36"/>
          <w:lang w:eastAsia="zh-CN"/>
        </w:rPr>
      </w:pPr>
      <w:bookmarkStart w:id="0" w:name="_GoBack"/>
      <w:bookmarkEnd w:id="0"/>
      <w:proofErr w:type="gramStart"/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ebIX</w:t>
      </w:r>
      <w:proofErr w:type="gramEnd"/>
      <w:r w:rsidR="00593CFB" w:rsidRPr="00760B7D">
        <w:rPr>
          <w:rFonts w:ascii="Times New Roman" w:hAnsi="Times New Roman" w:cs="Times New Roman"/>
          <w:b/>
          <w:bCs/>
          <w:i/>
          <w:iCs/>
          <w:sz w:val="36"/>
          <w:vertAlign w:val="superscript"/>
          <w:lang w:eastAsia="zh-CN"/>
        </w:rPr>
        <w:t>®</w:t>
      </w:r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, EFET and ENTSO-E Harmonis</w:t>
      </w:r>
      <w:r w:rsidR="00F20CC6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ed Role Model</w:t>
      </w:r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 xml:space="preserve"> Maintenance Request </w:t>
      </w:r>
      <w:r w:rsidR="00760B7D"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F</w:t>
      </w:r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orm</w:t>
      </w:r>
    </w:p>
    <w:p w:rsidR="002E2F59" w:rsidRDefault="002E2F59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All participants in the European Electricity Market may issue a Maintenance Request concerning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the do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cumentation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of the Harmonised Electricity Market Role Model</w:t>
      </w:r>
      <w:r w:rsidR="00F20CC6">
        <w:rPr>
          <w:rFonts w:ascii="Times New Roman" w:hAnsi="Times New Roman" w:cs="Times New Roman"/>
          <w:sz w:val="22"/>
          <w:lang w:eastAsia="zh-CN"/>
        </w:rPr>
        <w:t xml:space="preserve"> (HRM)</w:t>
      </w:r>
      <w:r w:rsidRPr="002E2F59">
        <w:rPr>
          <w:rFonts w:ascii="Times New Roman" w:hAnsi="Times New Roman" w:cs="Times New Roman"/>
          <w:sz w:val="22"/>
          <w:lang w:eastAsia="zh-CN"/>
        </w:rPr>
        <w:t>. This document defines the form that is to be used to submit such a request.</w:t>
      </w: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>General guidelines for the Maintenance Request submission: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The form is to be completed with all the necessary information.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All associated documents required for the understanding of the Maintenance Request are to be provided.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 xml:space="preserve">It is highly recommended to provide a presentation describing the business </w:t>
      </w:r>
      <w:r w:rsidR="009C409F" w:rsidRPr="002E2F59">
        <w:rPr>
          <w:rFonts w:ascii="Times New Roman" w:hAnsi="Times New Roman"/>
          <w:szCs w:val="24"/>
          <w:lang w:eastAsia="en-US"/>
        </w:rPr>
        <w:t xml:space="preserve">needs (the business processes) behind the suggested update of the Role model. </w:t>
      </w:r>
      <w:r w:rsidRPr="002E2F59">
        <w:rPr>
          <w:rFonts w:ascii="Times New Roman" w:hAnsi="Times New Roman"/>
          <w:szCs w:val="24"/>
          <w:lang w:eastAsia="en-US"/>
        </w:rPr>
        <w:t xml:space="preserve">If needed the requester can be invited to present their Maintenance Request to </w:t>
      </w:r>
      <w:r w:rsidR="009C409F" w:rsidRPr="002E2F59">
        <w:rPr>
          <w:rFonts w:ascii="Times New Roman" w:hAnsi="Times New Roman"/>
          <w:szCs w:val="24"/>
          <w:lang w:eastAsia="en-US"/>
        </w:rPr>
        <w:t xml:space="preserve">the Harmonisation </w:t>
      </w:r>
      <w:r w:rsidR="00760B7D" w:rsidRPr="002E2F59">
        <w:rPr>
          <w:rFonts w:ascii="Times New Roman" w:hAnsi="Times New Roman"/>
          <w:szCs w:val="24"/>
          <w:lang w:eastAsia="en-US"/>
        </w:rPr>
        <w:t>Group</w:t>
      </w:r>
      <w:r w:rsidRPr="002E2F59">
        <w:rPr>
          <w:rFonts w:ascii="Times New Roman" w:hAnsi="Times New Roman"/>
          <w:szCs w:val="24"/>
          <w:lang w:eastAsia="en-US"/>
        </w:rPr>
        <w:t xml:space="preserve">. Failing that a </w:t>
      </w:r>
      <w:r w:rsidR="009C409F" w:rsidRPr="002E2F59">
        <w:rPr>
          <w:rFonts w:ascii="Times New Roman" w:hAnsi="Times New Roman"/>
          <w:szCs w:val="24"/>
          <w:lang w:eastAsia="en-US"/>
        </w:rPr>
        <w:t xml:space="preserve">Harmonisation </w:t>
      </w:r>
      <w:r w:rsidR="00760B7D" w:rsidRPr="002E2F59">
        <w:rPr>
          <w:rFonts w:ascii="Times New Roman" w:hAnsi="Times New Roman"/>
          <w:szCs w:val="24"/>
          <w:lang w:eastAsia="en-US"/>
        </w:rPr>
        <w:t>G</w:t>
      </w:r>
      <w:r w:rsidR="009C409F" w:rsidRPr="002E2F59">
        <w:rPr>
          <w:rFonts w:ascii="Times New Roman" w:hAnsi="Times New Roman"/>
          <w:szCs w:val="24"/>
          <w:lang w:eastAsia="en-US"/>
        </w:rPr>
        <w:t>roup m</w:t>
      </w:r>
      <w:r w:rsidRPr="002E2F59">
        <w:rPr>
          <w:rFonts w:ascii="Times New Roman" w:hAnsi="Times New Roman"/>
          <w:szCs w:val="24"/>
          <w:lang w:eastAsia="en-US"/>
        </w:rPr>
        <w:t>ember should champion the Maintenance Request so that any questions raised may be immediately resolved.</w:t>
      </w:r>
    </w:p>
    <w:p w:rsidR="00D655C9" w:rsidRPr="002E2F59" w:rsidRDefault="00D655C9" w:rsidP="00D655C9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This form is to be addressed to 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>ebIX</w:t>
      </w:r>
      <w:r w:rsidR="007F50B2" w:rsidRPr="007F50B2">
        <w:rPr>
          <w:rFonts w:ascii="Times New Roman" w:hAnsi="Times New Roman" w:cs="Times New Roman"/>
          <w:sz w:val="22"/>
          <w:vertAlign w:val="superscript"/>
          <w:lang w:eastAsia="zh-CN"/>
        </w:rPr>
        <w:t>®</w:t>
      </w:r>
      <w:r w:rsidR="007F50B2">
        <w:rPr>
          <w:rFonts w:ascii="Times New Roman" w:hAnsi="Times New Roman" w:cs="Times New Roman"/>
          <w:sz w:val="22"/>
          <w:lang w:eastAsia="zh-CN"/>
        </w:rPr>
        <w:t xml:space="preserve"> (ETC)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 xml:space="preserve">, EFET </w:t>
      </w:r>
      <w:r w:rsidR="007F50B2">
        <w:rPr>
          <w:rFonts w:ascii="Times New Roman" w:hAnsi="Times New Roman" w:cs="Times New Roman"/>
          <w:sz w:val="22"/>
          <w:lang w:eastAsia="zh-CN"/>
        </w:rPr>
        <w:t>or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 xml:space="preserve"> ENTSO-E</w:t>
      </w:r>
      <w:r w:rsidR="007F50B2">
        <w:rPr>
          <w:rFonts w:ascii="Times New Roman" w:hAnsi="Times New Roman" w:cs="Times New Roman"/>
          <w:sz w:val="22"/>
          <w:lang w:eastAsia="zh-CN"/>
        </w:rPr>
        <w:t>/WG-EDI, who will verify the MR and present it to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 xml:space="preserve">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Pr="002E2F59">
        <w:rPr>
          <w:rFonts w:ascii="Times New Roman" w:hAnsi="Times New Roman" w:cs="Times New Roman"/>
          <w:sz w:val="22"/>
          <w:lang w:eastAsia="zh-CN"/>
        </w:rPr>
        <w:t>roup. For</w:t>
      </w:r>
      <w:r w:rsidR="007F50B2">
        <w:rPr>
          <w:rFonts w:ascii="Times New Roman" w:hAnsi="Times New Roman" w:cs="Times New Roman"/>
          <w:sz w:val="22"/>
          <w:lang w:eastAsia="zh-CN"/>
        </w:rPr>
        <w:t xml:space="preserve"> contact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information</w:t>
      </w:r>
      <w:r w:rsidR="00460538">
        <w:rPr>
          <w:rFonts w:ascii="Times New Roman" w:hAnsi="Times New Roman" w:cs="Times New Roman"/>
          <w:sz w:val="22"/>
          <w:lang w:eastAsia="zh-CN"/>
        </w:rPr>
        <w:t>,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see </w:t>
      </w:r>
      <w:hyperlink r:id="rId8" w:history="1">
        <w:r w:rsidR="007F50B2" w:rsidRPr="007F50B2">
          <w:rPr>
            <w:rStyle w:val="Hyperlink"/>
            <w:rFonts w:ascii="Times New Roman" w:hAnsi="Times New Roman" w:cs="Times New Roman"/>
            <w:sz w:val="22"/>
            <w:lang w:eastAsia="zh-CN"/>
          </w:rPr>
          <w:t>www.entsoe.eu</w:t>
        </w:r>
      </w:hyperlink>
      <w:r w:rsidR="007F50B2">
        <w:rPr>
          <w:rStyle w:val="Hyperlink"/>
          <w:rFonts w:ascii="Times New Roman" w:hAnsi="Times New Roman" w:cs="Times New Roman"/>
          <w:sz w:val="22"/>
          <w:lang w:eastAsia="zh-CN"/>
        </w:rPr>
        <w:t xml:space="preserve">, </w:t>
      </w:r>
      <w:hyperlink r:id="rId9" w:history="1">
        <w:r w:rsidR="00460538" w:rsidRPr="00525FD1">
          <w:rPr>
            <w:rStyle w:val="Hyperlink"/>
            <w:rFonts w:ascii="Times New Roman" w:hAnsi="Times New Roman" w:cs="Times New Roman"/>
            <w:sz w:val="22"/>
            <w:lang w:eastAsia="zh-CN"/>
          </w:rPr>
          <w:t>www.efet.org</w:t>
        </w:r>
      </w:hyperlink>
      <w:r w:rsidR="00460538">
        <w:rPr>
          <w:rStyle w:val="Hyperlink"/>
          <w:rFonts w:ascii="Times New Roman" w:hAnsi="Times New Roman" w:cs="Times New Roman"/>
          <w:sz w:val="22"/>
          <w:lang w:eastAsia="zh-CN"/>
        </w:rPr>
        <w:t xml:space="preserve"> </w:t>
      </w:r>
      <w:r w:rsidR="00460538" w:rsidRPr="002E2F59">
        <w:rPr>
          <w:rFonts w:ascii="Times New Roman" w:hAnsi="Times New Roman" w:cs="Times New Roman"/>
          <w:sz w:val="22"/>
          <w:lang w:eastAsia="zh-CN"/>
        </w:rPr>
        <w:t>or</w:t>
      </w:r>
      <w:r w:rsidR="00460538">
        <w:t xml:space="preserve"> </w:t>
      </w:r>
      <w:hyperlink r:id="rId10" w:history="1">
        <w:r w:rsidRPr="002E2F59">
          <w:rPr>
            <w:rStyle w:val="Hyperlink"/>
            <w:rFonts w:ascii="Times New Roman" w:hAnsi="Times New Roman" w:cs="Times New Roman"/>
            <w:sz w:val="22"/>
            <w:lang w:eastAsia="zh-CN"/>
          </w:rPr>
          <w:t>www.ebix.org</w:t>
        </w:r>
      </w:hyperlink>
      <w:r w:rsidRPr="002E2F59">
        <w:rPr>
          <w:rFonts w:ascii="Times New Roman" w:hAnsi="Times New Roman" w:cs="Times New Roman"/>
          <w:sz w:val="22"/>
          <w:lang w:eastAsia="zh-CN"/>
        </w:rPr>
        <w:t>.</w:t>
      </w:r>
    </w:p>
    <w:p w:rsidR="008D48C6" w:rsidRPr="002E2F59" w:rsidRDefault="00D655C9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>T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 xml:space="preserve">he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c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 xml:space="preserve">onvener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or the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 xml:space="preserve">secretary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of 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 xml:space="preserve">Group 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 xml:space="preserve">will inform the submitter when the Maintenance Request is to be reviewed by the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roup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>.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The Maintenance request should be submitted at least two weeks before the next meeting in 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Pr="002E2F59">
        <w:rPr>
          <w:rFonts w:ascii="Times New Roman" w:hAnsi="Times New Roman" w:cs="Times New Roman"/>
          <w:sz w:val="22"/>
          <w:lang w:eastAsia="zh-CN"/>
        </w:rPr>
        <w:t>roup in order for it to be handled at that meeting.</w:t>
      </w: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The Maintenance Request 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>will then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be provided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 xml:space="preserve">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to 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 xml:space="preserve">the other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 xml:space="preserve">Group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m</w:t>
      </w:r>
      <w:r w:rsidRPr="002E2F59">
        <w:rPr>
          <w:rFonts w:ascii="Times New Roman" w:hAnsi="Times New Roman" w:cs="Times New Roman"/>
          <w:sz w:val="22"/>
          <w:lang w:eastAsia="zh-CN"/>
        </w:rPr>
        <w:t>embers prior to its presentation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 xml:space="preserve"> as soon as possible, and at least one week </w:t>
      </w:r>
      <w:r w:rsidR="00F9487B" w:rsidRPr="002E2F59">
        <w:rPr>
          <w:rFonts w:ascii="Times New Roman" w:hAnsi="Times New Roman" w:cs="Times New Roman"/>
          <w:sz w:val="22"/>
          <w:lang w:eastAsia="zh-CN"/>
        </w:rPr>
        <w:t>before the meeting</w:t>
      </w:r>
      <w:r w:rsidRPr="002E2F59">
        <w:rPr>
          <w:rFonts w:ascii="Times New Roman" w:hAnsi="Times New Roman" w:cs="Times New Roman"/>
          <w:sz w:val="22"/>
          <w:lang w:eastAsia="zh-CN"/>
        </w:rPr>
        <w:t>.</w:t>
      </w: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The Maintenance Request will be debated within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roup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and the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roup m</w:t>
      </w:r>
      <w:r w:rsidRPr="002E2F59">
        <w:rPr>
          <w:rFonts w:ascii="Times New Roman" w:hAnsi="Times New Roman" w:cs="Times New Roman"/>
          <w:sz w:val="22"/>
          <w:lang w:eastAsia="zh-CN"/>
        </w:rPr>
        <w:t>embers shall state: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 Maintenance Request is to be rejected.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 Maintenance Request is accepted.</w:t>
      </w:r>
    </w:p>
    <w:p w:rsidR="009C409F" w:rsidRPr="002E2F59" w:rsidRDefault="009C409F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 Maintenance Request can be accepted after suggested adjustments.</w:t>
      </w:r>
    </w:p>
    <w:p w:rsidR="006E0678" w:rsidRPr="002E2F59" w:rsidRDefault="006E0678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there is a need for further clarifications before the Maintenance Request can be rejected or accepted.</w:t>
      </w:r>
    </w:p>
    <w:p w:rsidR="009C409F" w:rsidRPr="002E2F59" w:rsidRDefault="009C409F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>All decisions shall be obtained through consensus</w:t>
      </w:r>
      <w:r w:rsidR="005A3FB2" w:rsidRPr="002E2F59">
        <w:rPr>
          <w:rStyle w:val="FootnoteReference"/>
          <w:rFonts w:ascii="Times New Roman" w:hAnsi="Times New Roman" w:cs="Times New Roman"/>
          <w:sz w:val="22"/>
          <w:lang w:eastAsia="zh-CN"/>
        </w:rPr>
        <w:footnoteReference w:id="1"/>
      </w:r>
      <w:r w:rsidRPr="002E2F59">
        <w:rPr>
          <w:rFonts w:ascii="Times New Roman" w:hAnsi="Times New Roman" w:cs="Times New Roman"/>
          <w:sz w:val="22"/>
          <w:lang w:eastAsia="zh-CN"/>
        </w:rPr>
        <w:t>.</w:t>
      </w:r>
    </w:p>
    <w:p w:rsidR="009C409F" w:rsidRPr="002E2F59" w:rsidRDefault="009C409F" w:rsidP="005A3FB2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In all cases, the requester shall be informed of 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Pr="002E2F59">
        <w:rPr>
          <w:rFonts w:ascii="Times New Roman" w:hAnsi="Times New Roman" w:cs="Times New Roman"/>
          <w:sz w:val="22"/>
          <w:lang w:eastAsia="zh-CN"/>
        </w:rPr>
        <w:t>roup decision</w:t>
      </w:r>
      <w:r w:rsidR="006E0678" w:rsidRPr="002E2F59">
        <w:rPr>
          <w:rFonts w:ascii="Times New Roman" w:hAnsi="Times New Roman" w:cs="Times New Roman"/>
          <w:sz w:val="22"/>
          <w:lang w:eastAsia="zh-CN"/>
        </w:rPr>
        <w:t xml:space="preserve">. If the Maintenance Request was not accepted, the requester may come back with further input, and must come back with further clarifications </w:t>
      </w:r>
      <w:r w:rsidR="00593CFB" w:rsidRPr="002E2F59">
        <w:rPr>
          <w:rFonts w:ascii="Times New Roman" w:hAnsi="Times New Roman" w:cs="Times New Roman"/>
          <w:sz w:val="22"/>
          <w:lang w:eastAsia="zh-CN"/>
        </w:rPr>
        <w:t>when requested</w:t>
      </w:r>
      <w:r w:rsidR="006E0678" w:rsidRPr="002E2F59">
        <w:rPr>
          <w:rFonts w:ascii="Times New Roman" w:hAnsi="Times New Roman" w:cs="Times New Roman"/>
          <w:sz w:val="22"/>
          <w:lang w:eastAsia="zh-CN"/>
        </w:rPr>
        <w:t>, unless the Maintenance Request is withdrawn.</w:t>
      </w:r>
    </w:p>
    <w:p w:rsidR="00F962D7" w:rsidRPr="002E2F59" w:rsidRDefault="00F962D7">
      <w:pPr>
        <w:autoSpaceDE/>
        <w:autoSpaceDN/>
        <w:spacing w:after="160" w:line="259" w:lineRule="auto"/>
        <w:rPr>
          <w:rFonts w:ascii="Arial" w:hAnsi="Arial" w:cs="Arial"/>
          <w:sz w:val="20"/>
        </w:rPr>
      </w:pPr>
      <w:r w:rsidRPr="002E2F59">
        <w:rPr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5695"/>
      </w:tblGrid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lastRenderedPageBreak/>
              <w:t>Date (DD/MM/YYYY):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760B7D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Submitter</w:t>
            </w:r>
            <w:r w:rsidR="008D48C6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Name: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Organisation: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E-mail: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F20CC6" w:rsidRPr="002E2F59" w:rsidTr="00F962D7">
        <w:trPr>
          <w:jc w:val="center"/>
        </w:trPr>
        <w:tc>
          <w:tcPr>
            <w:tcW w:w="3400" w:type="dxa"/>
            <w:vAlign w:val="center"/>
          </w:tcPr>
          <w:p w:rsidR="00F20CC6" w:rsidRPr="002E2F59" w:rsidRDefault="00F20C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Phone number:</w:t>
            </w:r>
          </w:p>
        </w:tc>
        <w:tc>
          <w:tcPr>
            <w:tcW w:w="5813" w:type="dxa"/>
            <w:vAlign w:val="center"/>
          </w:tcPr>
          <w:p w:rsidR="00F20CC6" w:rsidRPr="002E2F59" w:rsidRDefault="00F20C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</w:tbl>
    <w:p w:rsidR="008D48C6" w:rsidRPr="00760B7D" w:rsidRDefault="008D48C6" w:rsidP="008D48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5698"/>
      </w:tblGrid>
      <w:tr w:rsidR="008D48C6" w:rsidRPr="002E2F59" w:rsidTr="002E2F59">
        <w:trPr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Request identification: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2E2F59">
        <w:trPr>
          <w:jc w:val="center"/>
        </w:trPr>
        <w:tc>
          <w:tcPr>
            <w:tcW w:w="3365" w:type="dxa"/>
            <w:vAlign w:val="center"/>
          </w:tcPr>
          <w:p w:rsidR="008D48C6" w:rsidRPr="002E2F59" w:rsidRDefault="00A64D0B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Type of request (Addition, Deletion or Change)</w:t>
            </w:r>
            <w:r w:rsidR="008D48C6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:</w:t>
            </w:r>
          </w:p>
        </w:tc>
        <w:tc>
          <w:tcPr>
            <w:tcW w:w="5698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trHeight w:val="883"/>
          <w:jc w:val="center"/>
        </w:trPr>
        <w:tc>
          <w:tcPr>
            <w:tcW w:w="3365" w:type="dxa"/>
            <w:vAlign w:val="center"/>
          </w:tcPr>
          <w:p w:rsidR="002E4A5C" w:rsidRPr="002E2F59" w:rsidRDefault="00760B7D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sz w:val="22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</w:rPr>
              <w:t>What to change:</w:t>
            </w:r>
          </w:p>
        </w:tc>
        <w:tc>
          <w:tcPr>
            <w:tcW w:w="5698" w:type="dxa"/>
            <w:vAlign w:val="center"/>
          </w:tcPr>
          <w:p w:rsidR="00760B7D" w:rsidRPr="002E2F59" w:rsidRDefault="00760B7D" w:rsidP="00657349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E2F59">
              <w:rPr>
                <w:rFonts w:ascii="Times New Roman" w:hAnsi="Times New Roman" w:cs="Times New Roman"/>
                <w:b/>
                <w:sz w:val="22"/>
              </w:rPr>
              <w:t>Role</w:t>
            </w:r>
          </w:p>
          <w:p w:rsidR="00760B7D" w:rsidRPr="007F50B2" w:rsidRDefault="002E4A5C" w:rsidP="00760B7D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</w:rPr>
              <w:t>Domain</w:t>
            </w:r>
          </w:p>
          <w:p w:rsidR="007F50B2" w:rsidRPr="002E2F59" w:rsidRDefault="007F50B2" w:rsidP="00760B7D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Association</w:t>
            </w:r>
          </w:p>
        </w:tc>
      </w:tr>
      <w:tr w:rsidR="002E4A5C" w:rsidRPr="002E2F59" w:rsidTr="002E2F59">
        <w:trPr>
          <w:jc w:val="center"/>
        </w:trPr>
        <w:tc>
          <w:tcPr>
            <w:tcW w:w="3365" w:type="dxa"/>
            <w:vAlign w:val="center"/>
          </w:tcPr>
          <w:p w:rsidR="002E4A5C" w:rsidRPr="002E2F59" w:rsidRDefault="00F20CC6" w:rsidP="00F20CC6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Name (name from the HRM, c</w:t>
            </w:r>
            <w:r w:rsidR="002E4A5C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ommonly used name</w:t>
            </w:r>
            <w:r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or business term)</w:t>
            </w:r>
            <w:r w:rsidR="002E4A5C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jc w:val="center"/>
        </w:trPr>
        <w:tc>
          <w:tcPr>
            <w:tcW w:w="3365" w:type="dxa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Definition: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trHeight w:val="660"/>
          <w:jc w:val="center"/>
        </w:trPr>
        <w:tc>
          <w:tcPr>
            <w:tcW w:w="3365" w:type="dxa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Associations with other Roles or Domains: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460538">
        <w:trPr>
          <w:trHeight w:val="1360"/>
          <w:jc w:val="center"/>
        </w:trPr>
        <w:tc>
          <w:tcPr>
            <w:tcW w:w="3365" w:type="dxa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Draft subset of Role 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M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odel (figure) showing associations between the new role or domain and the current role model: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trHeight w:val="288"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Background information:</w:t>
            </w:r>
          </w:p>
        </w:tc>
      </w:tr>
      <w:tr w:rsidR="002E2F59" w:rsidRPr="002E2F59" w:rsidTr="00AF6ECB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2F59" w:rsidRPr="002E2F59" w:rsidRDefault="002E2F59" w:rsidP="00AF6ECB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Reason for request: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Process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(</w:t>
            </w:r>
            <w:proofErr w:type="spellStart"/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es</w:t>
            </w:r>
            <w:proofErr w:type="spellEnd"/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)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involved: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Responsibilities (the organisation, or “shared”):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References (e.g. references to regulation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(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s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)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, to web page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(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s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)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etcetera):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2F59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2F59" w:rsidRPr="002E2F59" w:rsidRDefault="002E2F59" w:rsidP="00AF6ECB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</w:tbl>
    <w:p w:rsidR="00C41C30" w:rsidRPr="00760B7D" w:rsidRDefault="00C41C30"/>
    <w:sectPr w:rsidR="00C41C30" w:rsidRPr="00760B7D" w:rsidSect="00E518E0">
      <w:pgSz w:w="11907" w:h="16839" w:code="9"/>
      <w:pgMar w:top="1417" w:right="1417" w:bottom="1417" w:left="141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E8" w:rsidRDefault="00AE07E8" w:rsidP="008D48C6">
      <w:r>
        <w:separator/>
      </w:r>
    </w:p>
  </w:endnote>
  <w:endnote w:type="continuationSeparator" w:id="0">
    <w:p w:rsidR="00AE07E8" w:rsidRDefault="00AE07E8" w:rsidP="008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E8" w:rsidRDefault="00AE07E8" w:rsidP="008D48C6">
      <w:r>
        <w:separator/>
      </w:r>
    </w:p>
  </w:footnote>
  <w:footnote w:type="continuationSeparator" w:id="0">
    <w:p w:rsidR="00AE07E8" w:rsidRDefault="00AE07E8" w:rsidP="008D48C6">
      <w:r>
        <w:continuationSeparator/>
      </w:r>
    </w:p>
  </w:footnote>
  <w:footnote w:id="1">
    <w:p w:rsidR="005A3FB2" w:rsidRPr="005A3FB2" w:rsidRDefault="005A3F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ISO </w:t>
      </w:r>
      <w:r>
        <w:rPr>
          <w:lang w:val="en-IE"/>
        </w:rPr>
        <w:t>definition of Consensus: “general agreement, characterized by the absence of sustained opposition to substantial issues by any important part of the concerned interests and by a process that involves seeking to take into account the views of all parties concerned and to reconcile any conflicting arguments”.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20B6"/>
    <w:multiLevelType w:val="hybridMultilevel"/>
    <w:tmpl w:val="480A3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71C1"/>
    <w:multiLevelType w:val="hybridMultilevel"/>
    <w:tmpl w:val="A224A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03293"/>
    <w:multiLevelType w:val="multilevel"/>
    <w:tmpl w:val="5A12F4D2"/>
    <w:lvl w:ilvl="0">
      <w:start w:val="1"/>
      <w:numFmt w:val="upperLetter"/>
      <w:pStyle w:val="Vedlegg1"/>
      <w:lvlText w:val="Vedlegg %1"/>
      <w:lvlJc w:val="left"/>
      <w:pPr>
        <w:ind w:left="360" w:hanging="360"/>
      </w:pPr>
      <w:rPr>
        <w:rFonts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90072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E861D89"/>
    <w:multiLevelType w:val="hybridMultilevel"/>
    <w:tmpl w:val="68085898"/>
    <w:lvl w:ilvl="0" w:tplc="39828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6"/>
    <w:rsid w:val="000867AA"/>
    <w:rsid w:val="000D0490"/>
    <w:rsid w:val="000D37E3"/>
    <w:rsid w:val="002E2F59"/>
    <w:rsid w:val="002E4A5C"/>
    <w:rsid w:val="00460538"/>
    <w:rsid w:val="004C31BF"/>
    <w:rsid w:val="0052739C"/>
    <w:rsid w:val="00593CFB"/>
    <w:rsid w:val="005A3FB2"/>
    <w:rsid w:val="006B317E"/>
    <w:rsid w:val="006E0678"/>
    <w:rsid w:val="006F2FA4"/>
    <w:rsid w:val="00760B7D"/>
    <w:rsid w:val="00785058"/>
    <w:rsid w:val="007F17B9"/>
    <w:rsid w:val="007F50B2"/>
    <w:rsid w:val="008050E7"/>
    <w:rsid w:val="008B57C5"/>
    <w:rsid w:val="008D48C6"/>
    <w:rsid w:val="009C409F"/>
    <w:rsid w:val="009D7F11"/>
    <w:rsid w:val="00A64D0B"/>
    <w:rsid w:val="00AE07E8"/>
    <w:rsid w:val="00B941AE"/>
    <w:rsid w:val="00C41C30"/>
    <w:rsid w:val="00C86B56"/>
    <w:rsid w:val="00CC677D"/>
    <w:rsid w:val="00CF1635"/>
    <w:rsid w:val="00D05694"/>
    <w:rsid w:val="00D54A76"/>
    <w:rsid w:val="00D655C9"/>
    <w:rsid w:val="00DE17D4"/>
    <w:rsid w:val="00E518E0"/>
    <w:rsid w:val="00E51969"/>
    <w:rsid w:val="00EB6E8C"/>
    <w:rsid w:val="00F20CC6"/>
    <w:rsid w:val="00F32A3E"/>
    <w:rsid w:val="00F9487B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2F343-5FBE-484F-931D-72C4C16B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C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GB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7B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2,H21,H24,H25,H26,H211,H241,H251"/>
    <w:basedOn w:val="Heading1"/>
    <w:next w:val="Normal"/>
    <w:link w:val="Heading2Char"/>
    <w:qFormat/>
    <w:rsid w:val="007F17B9"/>
    <w:pPr>
      <w:keepLines w:val="0"/>
      <w:numPr>
        <w:ilvl w:val="1"/>
      </w:numPr>
      <w:tabs>
        <w:tab w:val="left" w:pos="873"/>
      </w:tabs>
      <w:spacing w:before="0"/>
      <w:outlineLvl w:val="1"/>
    </w:pPr>
    <w:rPr>
      <w:rFonts w:asciiTheme="minorHAnsi" w:eastAsia="Times New Roman" w:hAnsiTheme="minorHAnsi" w:cs="Times New Roman"/>
      <w:i/>
      <w:iCs/>
      <w:color w:val="365F91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dlegg1">
    <w:name w:val="Vedlegg 1"/>
    <w:basedOn w:val="Normal"/>
    <w:qFormat/>
    <w:rsid w:val="00DE17D4"/>
    <w:pPr>
      <w:numPr>
        <w:numId w:val="1"/>
      </w:numPr>
    </w:pPr>
    <w:rPr>
      <w:rFonts w:ascii="Times New Roman" w:hAnsi="Times New Roman"/>
      <w:b/>
      <w:bCs/>
      <w:smallCaps/>
      <w:sz w:val="24"/>
      <w:szCs w:val="24"/>
    </w:rPr>
  </w:style>
  <w:style w:type="paragraph" w:customStyle="1" w:styleId="StyleAppendix2CambriaCustomColorRGB31">
    <w:name w:val="Style Appendix 2 + Cambria Custom Color(RGB(31"/>
    <w:aliases w:val="78,121))"/>
    <w:basedOn w:val="Normal"/>
    <w:autoRedefine/>
    <w:rsid w:val="00D54A76"/>
    <w:pPr>
      <w:outlineLvl w:val="1"/>
    </w:pPr>
    <w:rPr>
      <w:rFonts w:ascii="Cambria" w:hAnsi="Cambria"/>
      <w:b/>
      <w:bCs/>
      <w:noProof/>
      <w:color w:val="1F4E79"/>
      <w:sz w:val="24"/>
      <w:szCs w:val="24"/>
    </w:rPr>
  </w:style>
  <w:style w:type="paragraph" w:customStyle="1" w:styleId="Appendix1">
    <w:name w:val="Appendix 1"/>
    <w:basedOn w:val="Normal"/>
    <w:next w:val="Normal"/>
    <w:qFormat/>
    <w:rsid w:val="00B941AE"/>
    <w:pPr>
      <w:tabs>
        <w:tab w:val="num" w:pos="643"/>
      </w:tabs>
      <w:ind w:left="643" w:hanging="360"/>
    </w:pPr>
    <w:rPr>
      <w:b/>
      <w:bCs/>
      <w:smallCaps/>
      <w:sz w:val="24"/>
      <w:szCs w:val="24"/>
    </w:rPr>
  </w:style>
  <w:style w:type="character" w:customStyle="1" w:styleId="Heading2Char">
    <w:name w:val="Heading 2 Char"/>
    <w:aliases w:val="H2 Char,H21 Char,H24 Char,H25 Char,H26 Char,H211 Char,H241 Char,H251 Char"/>
    <w:basedOn w:val="DefaultParagraphFont"/>
    <w:link w:val="Heading2"/>
    <w:rsid w:val="007F17B9"/>
    <w:rPr>
      <w:rFonts w:eastAsia="Times New Roman" w:cs="Times New Roman"/>
      <w:i/>
      <w:iCs/>
      <w:color w:val="365F91"/>
      <w:kern w:val="28"/>
      <w:lang w:val="en-GB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7F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D48C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D48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8C6"/>
    <w:rPr>
      <w:rFonts w:ascii="Calibri" w:eastAsia="Times New Roman" w:hAnsi="Calibri" w:cs="Times New Roman"/>
      <w:sz w:val="20"/>
      <w:szCs w:val="20"/>
      <w:lang w:val="en-GB" w:eastAsia="nb-NO"/>
    </w:rPr>
  </w:style>
  <w:style w:type="paragraph" w:styleId="BodyText">
    <w:name w:val="Body Text"/>
    <w:basedOn w:val="Normal"/>
    <w:link w:val="BodyTextChar"/>
    <w:rsid w:val="008D48C6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48C6"/>
    <w:rPr>
      <w:rFonts w:ascii="Arial" w:eastAsia="Times New Roman" w:hAnsi="Arial" w:cs="Arial"/>
      <w:sz w:val="24"/>
      <w:szCs w:val="24"/>
      <w:lang w:val="en-GB" w:eastAsia="nb-NO"/>
    </w:rPr>
  </w:style>
  <w:style w:type="character" w:styleId="FootnoteReference">
    <w:name w:val="footnote reference"/>
    <w:semiHidden/>
    <w:rsid w:val="008D48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4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0B"/>
    <w:rPr>
      <w:rFonts w:ascii="Tahoma" w:eastAsia="Times New Roman" w:hAnsi="Tahoma" w:cs="Tahoma"/>
      <w:sz w:val="16"/>
      <w:szCs w:val="16"/>
      <w:lang w:val="en-GB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7F5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so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bi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6E36-7B19-414B-90DD-4670A34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Kraftnät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Nesvik</dc:creator>
  <cp:lastModifiedBy>maureen</cp:lastModifiedBy>
  <cp:revision>2</cp:revision>
  <cp:lastPrinted>2014-09-17T12:39:00Z</cp:lastPrinted>
  <dcterms:created xsi:type="dcterms:W3CDTF">2014-09-26T09:25:00Z</dcterms:created>
  <dcterms:modified xsi:type="dcterms:W3CDTF">2014-09-26T09:25:00Z</dcterms:modified>
</cp:coreProperties>
</file>