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2360" w14:textId="7581C5B7" w:rsidR="002A41AC" w:rsidRPr="0066750A" w:rsidRDefault="004B61CE" w:rsidP="002A41AC">
      <w:pPr>
        <w:pStyle w:val="Heading1"/>
        <w:rPr>
          <w:rFonts w:asciiTheme="minorHAnsi" w:hAnsiTheme="minorHAnsi" w:cstheme="minorHAnsi"/>
        </w:rPr>
      </w:pPr>
      <w:bookmarkStart w:id="0" w:name="_Ref115107778"/>
      <w:r w:rsidRPr="0066750A">
        <w:rPr>
          <w:rFonts w:asciiTheme="minorHAnsi" w:hAnsiTheme="minorHAnsi" w:cstheme="minorHAnsi"/>
        </w:rPr>
        <w:t xml:space="preserve">ebIX® </w:t>
      </w:r>
      <w:r w:rsidR="002A41AC" w:rsidRPr="0066750A">
        <w:rPr>
          <w:rFonts w:asciiTheme="minorHAnsi" w:hAnsiTheme="minorHAnsi" w:cstheme="minorHAnsi"/>
        </w:rPr>
        <w:t>comments to the Harmonised Electricity Market Role Model (HEMRM)</w:t>
      </w:r>
      <w:bookmarkEnd w:id="0"/>
    </w:p>
    <w:p w14:paraId="037B0361" w14:textId="77777777" w:rsidR="002A41AC" w:rsidRPr="0066750A" w:rsidRDefault="002A41AC" w:rsidP="002A41AC">
      <w:pPr>
        <w:pStyle w:val="Heading2"/>
        <w:rPr>
          <w:rFonts w:cstheme="minorHAnsi"/>
        </w:rPr>
      </w:pPr>
      <w:r w:rsidRPr="0066750A">
        <w:rPr>
          <w:rFonts w:cstheme="minorHAnsi"/>
        </w:rPr>
        <w:t>General comments</w:t>
      </w:r>
    </w:p>
    <w:p w14:paraId="213D4A20" w14:textId="77777777" w:rsidR="002A41AC" w:rsidRPr="0066750A" w:rsidRDefault="002A41AC" w:rsidP="002A41AC">
      <w:pPr>
        <w:rPr>
          <w:rFonts w:cstheme="minorHAnsi"/>
        </w:rPr>
      </w:pPr>
      <w:r w:rsidRPr="0066750A">
        <w:rPr>
          <w:rFonts w:cstheme="minorHAnsi"/>
        </w:rPr>
        <w:t>A copy of definitions from the network- or other codes should be avoided</w:t>
      </w:r>
      <w:r w:rsidR="00E13EBA" w:rsidRPr="0066750A">
        <w:rPr>
          <w:rFonts w:cstheme="minorHAnsi"/>
        </w:rPr>
        <w:t xml:space="preserve"> as part of the definition, however OK as additional information</w:t>
      </w:r>
      <w:r w:rsidRPr="0066750A">
        <w:rPr>
          <w:rFonts w:cstheme="minorHAnsi"/>
        </w:rPr>
        <w:t>. In general the HEMRM definitions should be more generic and in terms and roles of the HEMRM.</w:t>
      </w:r>
    </w:p>
    <w:p w14:paraId="475175B5" w14:textId="77777777" w:rsidR="002A41AC" w:rsidRPr="0066750A" w:rsidRDefault="002A41AC" w:rsidP="002A41AC">
      <w:pPr>
        <w:rPr>
          <w:rFonts w:cstheme="minorHAnsi"/>
        </w:rPr>
      </w:pPr>
      <w:r w:rsidRPr="0066750A">
        <w:rPr>
          <w:rFonts w:cstheme="minorHAnsi"/>
        </w:rPr>
        <w:t>The terms production and consumption should be avoided, i.e. replaced with feed in to and taken out of the grid.</w:t>
      </w:r>
    </w:p>
    <w:p w14:paraId="1B1D708E" w14:textId="77777777" w:rsidR="002A41AC" w:rsidRPr="0066750A" w:rsidRDefault="002A41AC" w:rsidP="002A41AC">
      <w:pPr>
        <w:rPr>
          <w:rFonts w:cstheme="minorHAnsi"/>
        </w:rPr>
      </w:pPr>
      <w:r w:rsidRPr="0066750A">
        <w:rPr>
          <w:rFonts w:cstheme="minorHAnsi"/>
        </w:rPr>
        <w:t>In the introduction of the HEMRM it should be added definitions of often used terms, such as:</w:t>
      </w:r>
    </w:p>
    <w:p w14:paraId="5373BC38"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Allocation</w:t>
      </w:r>
    </w:p>
    <w:p w14:paraId="1A0898DF"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Area</w:t>
      </w:r>
    </w:p>
    <w:p w14:paraId="56DD6566"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Asset</w:t>
      </w:r>
    </w:p>
    <w:p w14:paraId="0687D15A" w14:textId="77777777" w:rsidR="0071795C" w:rsidRPr="0066750A" w:rsidRDefault="0071795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Entitled party</w:t>
      </w:r>
    </w:p>
    <w:p w14:paraId="23770E43"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Grid, e.g.:</w:t>
      </w:r>
    </w:p>
    <w:p w14:paraId="296AEC65" w14:textId="77777777" w:rsidR="002A41AC" w:rsidRPr="0066750A" w:rsidRDefault="002A41AC" w:rsidP="002A41AC">
      <w:pPr>
        <w:pStyle w:val="ListParagraph"/>
        <w:numPr>
          <w:ilvl w:val="0"/>
          <w:numId w:val="0"/>
        </w:numPr>
        <w:ind w:left="1440"/>
        <w:rPr>
          <w:rFonts w:asciiTheme="minorHAnsi" w:hAnsiTheme="minorHAnsi"/>
          <w:i/>
          <w:iCs/>
        </w:rPr>
      </w:pPr>
      <w:r w:rsidRPr="0066750A">
        <w:rPr>
          <w:rFonts w:asciiTheme="minorHAnsi" w:hAnsiTheme="minorHAnsi"/>
          <w:i/>
          <w:iCs/>
        </w:rPr>
        <w:t>A grid is a physical constitution (of connected galvanic cables (electricity) or pipes (gas)) to transport or distribute energy to or from other grids and/or Parties Connected to the Grid.</w:t>
      </w:r>
    </w:p>
    <w:p w14:paraId="05FBA02F"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Grid connection</w:t>
      </w:r>
    </w:p>
    <w:p w14:paraId="213CD51C"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lang w:eastAsia="sv-SE"/>
        </w:rPr>
        <w:t>Interconnected System</w:t>
      </w:r>
    </w:p>
    <w:p w14:paraId="35C86931"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Schedule</w:t>
      </w:r>
    </w:p>
    <w:p w14:paraId="6478445B"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Synchronously interconnected</w:t>
      </w:r>
    </w:p>
    <w:p w14:paraId="74E342CD" w14:textId="77777777" w:rsidR="002A41AC" w:rsidRPr="0066750A" w:rsidRDefault="002A41AC" w:rsidP="002A41AC">
      <w:pPr>
        <w:pStyle w:val="ListParagraph"/>
        <w:numPr>
          <w:ilvl w:val="0"/>
          <w:numId w:val="17"/>
        </w:numPr>
        <w:autoSpaceDE/>
        <w:autoSpaceDN/>
        <w:spacing w:after="0"/>
        <w:ind w:left="714" w:hanging="357"/>
        <w:rPr>
          <w:rFonts w:asciiTheme="minorHAnsi" w:hAnsiTheme="minorHAnsi"/>
        </w:rPr>
      </w:pPr>
      <w:r w:rsidRPr="0066750A">
        <w:rPr>
          <w:rFonts w:asciiTheme="minorHAnsi" w:hAnsiTheme="minorHAnsi"/>
        </w:rPr>
        <w:t>System</w:t>
      </w:r>
    </w:p>
    <w:p w14:paraId="4D86BA51" w14:textId="77777777" w:rsidR="002A41AC" w:rsidRPr="0066750A" w:rsidRDefault="002A41AC" w:rsidP="002A41AC">
      <w:pPr>
        <w:pStyle w:val="ListParagraph"/>
        <w:numPr>
          <w:ilvl w:val="0"/>
          <w:numId w:val="17"/>
        </w:numPr>
        <w:autoSpaceDE/>
        <w:autoSpaceDN/>
        <w:rPr>
          <w:rFonts w:asciiTheme="minorHAnsi" w:hAnsiTheme="minorHAnsi"/>
        </w:rPr>
      </w:pPr>
      <w:r w:rsidRPr="0066750A">
        <w:rPr>
          <w:rFonts w:asciiTheme="minorHAnsi" w:hAnsiTheme="minorHAnsi"/>
        </w:rPr>
        <w:t>Transmission capacity</w:t>
      </w:r>
    </w:p>
    <w:p w14:paraId="44A69B67" w14:textId="77777777" w:rsidR="002A41AC" w:rsidRPr="0066750A" w:rsidRDefault="002A41AC" w:rsidP="002A41AC">
      <w:pPr>
        <w:rPr>
          <w:rFonts w:cstheme="minorHAnsi"/>
        </w:rPr>
      </w:pPr>
    </w:p>
    <w:p w14:paraId="46A4A06D" w14:textId="77777777" w:rsidR="002A41AC" w:rsidRPr="0066750A" w:rsidRDefault="002A41AC" w:rsidP="00F600E4">
      <w:pPr>
        <w:pStyle w:val="Appendix20"/>
        <w:keepNext/>
        <w:numPr>
          <w:ilvl w:val="1"/>
          <w:numId w:val="7"/>
        </w:numPr>
        <w:ind w:left="567" w:hanging="578"/>
        <w:rPr>
          <w:rFonts w:cstheme="minorHAnsi"/>
        </w:rPr>
      </w:pPr>
      <w:bookmarkStart w:id="1" w:name="_Hlk121752971"/>
      <w:r w:rsidRPr="0066750A">
        <w:rPr>
          <w:rFonts w:cstheme="minorHAnsi"/>
        </w:rPr>
        <w:lastRenderedPageBreak/>
        <w:t>Roles</w:t>
      </w:r>
    </w:p>
    <w:tbl>
      <w:tblPr>
        <w:tblW w:w="1017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1513"/>
        <w:gridCol w:w="2622"/>
        <w:gridCol w:w="5495"/>
      </w:tblGrid>
      <w:tr w:rsidR="002A41AC" w:rsidRPr="0066750A" w14:paraId="28B1E8C7" w14:textId="77777777" w:rsidTr="00F600E4">
        <w:trPr>
          <w:cantSplit/>
          <w:tblHeader/>
          <w:tblCellSpacing w:w="15" w:type="dxa"/>
        </w:trPr>
        <w:tc>
          <w:tcPr>
            <w:tcW w:w="10119" w:type="dxa"/>
            <w:gridSpan w:val="4"/>
            <w:vAlign w:val="center"/>
          </w:tcPr>
          <w:p w14:paraId="34AB3F8E" w14:textId="77777777" w:rsidR="002A41AC" w:rsidRPr="0066750A" w:rsidRDefault="002A41AC" w:rsidP="00964227">
            <w:pPr>
              <w:jc w:val="center"/>
              <w:rPr>
                <w:rFonts w:cstheme="minorHAnsi"/>
                <w:b/>
                <w:bCs/>
              </w:rPr>
            </w:pPr>
            <w:bookmarkStart w:id="2" w:name="_Hlk117522269"/>
            <w:r w:rsidRPr="0066750A">
              <w:rPr>
                <w:rFonts w:cstheme="minorHAnsi"/>
                <w:b/>
                <w:bCs/>
              </w:rPr>
              <w:t>ROLES</w:t>
            </w:r>
          </w:p>
        </w:tc>
      </w:tr>
      <w:tr w:rsidR="002A41AC" w:rsidRPr="0066750A" w14:paraId="1919A971" w14:textId="77777777" w:rsidTr="00F600E4">
        <w:trPr>
          <w:cantSplit/>
          <w:tblHeader/>
          <w:tblCellSpacing w:w="15" w:type="dxa"/>
        </w:trPr>
        <w:tc>
          <w:tcPr>
            <w:tcW w:w="556" w:type="dxa"/>
            <w:vAlign w:val="center"/>
            <w:hideMark/>
          </w:tcPr>
          <w:p w14:paraId="4C3BEAFE" w14:textId="77777777" w:rsidR="002A41AC" w:rsidRPr="0066750A" w:rsidRDefault="002A41AC" w:rsidP="00964227">
            <w:pPr>
              <w:jc w:val="center"/>
              <w:rPr>
                <w:rFonts w:cstheme="minorHAnsi"/>
                <w:b/>
                <w:bCs/>
              </w:rPr>
            </w:pPr>
            <w:r w:rsidRPr="0066750A">
              <w:rPr>
                <w:rFonts w:cstheme="minorHAnsi"/>
                <w:b/>
                <w:bCs/>
              </w:rPr>
              <w:t>TYPE</w:t>
            </w:r>
          </w:p>
        </w:tc>
        <w:tc>
          <w:tcPr>
            <w:tcW w:w="1518" w:type="dxa"/>
            <w:vAlign w:val="center"/>
            <w:hideMark/>
          </w:tcPr>
          <w:p w14:paraId="31B2DDCD" w14:textId="77777777" w:rsidR="002A41AC" w:rsidRPr="0066750A" w:rsidRDefault="002A41AC" w:rsidP="00964227">
            <w:pPr>
              <w:jc w:val="center"/>
              <w:rPr>
                <w:rFonts w:cstheme="minorHAnsi"/>
                <w:b/>
                <w:bCs/>
              </w:rPr>
            </w:pPr>
            <w:r w:rsidRPr="0066750A">
              <w:rPr>
                <w:rFonts w:cstheme="minorHAnsi"/>
                <w:b/>
                <w:bCs/>
              </w:rPr>
              <w:t>ROLE NAME</w:t>
            </w:r>
          </w:p>
        </w:tc>
        <w:tc>
          <w:tcPr>
            <w:tcW w:w="3912" w:type="dxa"/>
            <w:vAlign w:val="center"/>
            <w:hideMark/>
          </w:tcPr>
          <w:p w14:paraId="35F3DEE9" w14:textId="77777777" w:rsidR="002A41AC" w:rsidRPr="0066750A" w:rsidRDefault="002A41AC" w:rsidP="00964227">
            <w:pPr>
              <w:jc w:val="center"/>
              <w:rPr>
                <w:rFonts w:cstheme="minorHAnsi"/>
                <w:b/>
                <w:bCs/>
              </w:rPr>
            </w:pPr>
            <w:r w:rsidRPr="0066750A">
              <w:rPr>
                <w:rFonts w:cstheme="minorHAnsi"/>
                <w:b/>
                <w:bCs/>
              </w:rPr>
              <w:t>DESCRIPTION</w:t>
            </w:r>
          </w:p>
        </w:tc>
        <w:tc>
          <w:tcPr>
            <w:tcW w:w="4043" w:type="dxa"/>
          </w:tcPr>
          <w:p w14:paraId="67BB5786" w14:textId="7D5962A3" w:rsidR="002A41AC" w:rsidRPr="0066750A" w:rsidRDefault="004B61CE" w:rsidP="00964227">
            <w:pPr>
              <w:jc w:val="center"/>
              <w:rPr>
                <w:rFonts w:cstheme="minorHAnsi"/>
                <w:b/>
                <w:bCs/>
              </w:rPr>
            </w:pPr>
            <w:r w:rsidRPr="0066750A">
              <w:rPr>
                <w:rFonts w:cstheme="minorHAnsi"/>
                <w:b/>
                <w:bCs/>
              </w:rPr>
              <w:t>ebIX®</w:t>
            </w:r>
            <w:r w:rsidR="002A41AC" w:rsidRPr="0066750A">
              <w:rPr>
                <w:rFonts w:cstheme="minorHAnsi"/>
                <w:b/>
                <w:bCs/>
              </w:rPr>
              <w:t xml:space="preserve"> COMMENTS</w:t>
            </w:r>
          </w:p>
        </w:tc>
      </w:tr>
      <w:tr w:rsidR="002A41AC" w:rsidRPr="0066750A" w14:paraId="11F613CF" w14:textId="77777777" w:rsidTr="00F600E4">
        <w:trPr>
          <w:cantSplit/>
          <w:tblCellSpacing w:w="15" w:type="dxa"/>
        </w:trPr>
        <w:tc>
          <w:tcPr>
            <w:tcW w:w="556" w:type="dxa"/>
            <w:vAlign w:val="center"/>
            <w:hideMark/>
          </w:tcPr>
          <w:p w14:paraId="08860DE6" w14:textId="77777777" w:rsidR="002A41AC" w:rsidRPr="0066750A" w:rsidRDefault="002A41AC" w:rsidP="00964227">
            <w:pPr>
              <w:rPr>
                <w:rFonts w:cstheme="minorHAnsi"/>
              </w:rPr>
            </w:pPr>
            <w:r w:rsidRPr="0066750A">
              <w:rPr>
                <w:rFonts w:cstheme="minorHAnsi"/>
              </w:rPr>
              <w:t>Role</w:t>
            </w:r>
          </w:p>
        </w:tc>
        <w:tc>
          <w:tcPr>
            <w:tcW w:w="1518" w:type="dxa"/>
            <w:vAlign w:val="center"/>
            <w:hideMark/>
          </w:tcPr>
          <w:p w14:paraId="19CFECBA" w14:textId="77777777" w:rsidR="002A41AC" w:rsidRPr="0066750A" w:rsidRDefault="002A41AC" w:rsidP="00964227">
            <w:pPr>
              <w:rPr>
                <w:rFonts w:cstheme="minorHAnsi"/>
              </w:rPr>
            </w:pPr>
            <w:r w:rsidRPr="0066750A">
              <w:rPr>
                <w:rFonts w:cstheme="minorHAnsi"/>
              </w:rPr>
              <w:t>Balance Responsible Party</w:t>
            </w:r>
          </w:p>
        </w:tc>
        <w:tc>
          <w:tcPr>
            <w:tcW w:w="3912" w:type="dxa"/>
            <w:vAlign w:val="center"/>
            <w:hideMark/>
          </w:tcPr>
          <w:p w14:paraId="16537986" w14:textId="3465A95D" w:rsidR="006D3E47" w:rsidRPr="0073724E" w:rsidRDefault="0073724E" w:rsidP="006D3E47">
            <w:pPr>
              <w:pStyle w:val="NormalWeb"/>
              <w:spacing w:before="60" w:beforeAutospacing="0" w:after="240" w:afterAutospacing="0"/>
              <w:ind w:left="108"/>
              <w:rPr>
                <w:rFonts w:cstheme="minorHAnsi"/>
                <w:i/>
                <w:iCs/>
                <w:sz w:val="20"/>
                <w:szCs w:val="20"/>
              </w:rPr>
            </w:pPr>
            <w:bookmarkStart w:id="3" w:name="_Hlk133223094"/>
            <w:bookmarkStart w:id="4" w:name="_Hlk133314859"/>
            <w:r w:rsidRPr="0073724E">
              <w:rPr>
                <w:rFonts w:cstheme="minorHAnsi"/>
                <w:b/>
                <w:bCs/>
                <w:i/>
                <w:iCs/>
                <w:sz w:val="22"/>
                <w:szCs w:val="22"/>
              </w:rPr>
              <w:t>Proposed definition in HEMRM 2023-01, from HG meeting April 2023:</w:t>
            </w:r>
          </w:p>
          <w:p w14:paraId="0528D30C" w14:textId="2EABF7F0" w:rsidR="006D3E47" w:rsidRPr="0036702B" w:rsidRDefault="006D3E47" w:rsidP="00B453C8">
            <w:pPr>
              <w:pStyle w:val="NormalWeb"/>
              <w:spacing w:before="60" w:beforeAutospacing="0" w:after="240" w:afterAutospacing="0"/>
              <w:ind w:left="108"/>
              <w:rPr>
                <w:rFonts w:cstheme="minorHAnsi"/>
                <w:sz w:val="22"/>
                <w:szCs w:val="22"/>
              </w:rPr>
            </w:pPr>
            <w:r w:rsidRPr="0036702B">
              <w:rPr>
                <w:rFonts w:cstheme="minorHAnsi"/>
                <w:sz w:val="22"/>
                <w:szCs w:val="22"/>
              </w:rPr>
              <w:t>A party responsible for its imbalances, including any imbalance adjustment within a given imbalance settlement period. The Balance Responsible Party is financially accountable for its imbalances.</w:t>
            </w:r>
          </w:p>
          <w:p w14:paraId="0A352304" w14:textId="77777777" w:rsidR="006D3E47" w:rsidRPr="0036702B" w:rsidRDefault="006D3E47" w:rsidP="006D3E47">
            <w:pPr>
              <w:pStyle w:val="NormalWeb"/>
              <w:spacing w:before="60" w:beforeAutospacing="0" w:after="240" w:afterAutospacing="0"/>
              <w:ind w:left="108"/>
              <w:rPr>
                <w:rFonts w:cstheme="minorHAnsi"/>
                <w:sz w:val="22"/>
                <w:szCs w:val="22"/>
              </w:rPr>
            </w:pPr>
            <w:r w:rsidRPr="0036702B">
              <w:rPr>
                <w:rFonts w:cstheme="minorHAnsi"/>
                <w:b/>
                <w:bCs/>
                <w:sz w:val="22"/>
                <w:szCs w:val="22"/>
              </w:rPr>
              <w:t>Source:</w:t>
            </w:r>
            <w:r w:rsidRPr="0036702B">
              <w:rPr>
                <w:rFonts w:cstheme="minorHAnsi"/>
                <w:sz w:val="22"/>
                <w:szCs w:val="22"/>
              </w:rPr>
              <w:t xml:space="preserve"> </w:t>
            </w:r>
            <w:hyperlink r:id="rId8" w:anchor="d1e325-6-1" w:history="1">
              <w:r w:rsidRPr="0036702B">
                <w:rPr>
                  <w:rStyle w:val="Hyperlink"/>
                  <w:rFonts w:cstheme="minorHAnsi"/>
                  <w:sz w:val="22"/>
                  <w:szCs w:val="22"/>
                </w:rPr>
                <w:t>Electricity Balancing - Art.2 Definitions.</w:t>
              </w:r>
            </w:hyperlink>
          </w:p>
          <w:p w14:paraId="338D1803" w14:textId="77777777" w:rsidR="006D3E47" w:rsidRPr="0036702B" w:rsidRDefault="006D3E47" w:rsidP="00B453C8">
            <w:pPr>
              <w:spacing w:after="0"/>
              <w:ind w:left="108" w:right="142"/>
              <w:rPr>
                <w:rFonts w:cstheme="minorHAnsi"/>
                <w:b/>
                <w:bCs/>
              </w:rPr>
            </w:pPr>
            <w:r w:rsidRPr="0036702B">
              <w:rPr>
                <w:rFonts w:cstheme="minorHAnsi"/>
                <w:b/>
                <w:bCs/>
              </w:rPr>
              <w:t>Additional information:</w:t>
            </w:r>
          </w:p>
          <w:p w14:paraId="46DEF079" w14:textId="77777777" w:rsidR="006D3E47" w:rsidRPr="0036702B" w:rsidRDefault="006D3E47" w:rsidP="00B453C8">
            <w:pPr>
              <w:pStyle w:val="NormalWeb"/>
              <w:spacing w:before="60" w:beforeAutospacing="0" w:after="120" w:afterAutospacing="0"/>
              <w:ind w:left="108"/>
              <w:rPr>
                <w:rFonts w:cstheme="minorHAnsi"/>
                <w:sz w:val="22"/>
                <w:szCs w:val="22"/>
              </w:rPr>
            </w:pPr>
            <w:r w:rsidRPr="0036702B">
              <w:rPr>
                <w:rFonts w:cstheme="minorHAnsi"/>
                <w:sz w:val="22"/>
                <w:szCs w:val="22"/>
              </w:rPr>
              <w:t xml:space="preserve">A Balance Responsible Party is responsible for the difference between the energy volume physically fed in to or taken out from a grid and the final nominated energy volume. </w:t>
            </w:r>
          </w:p>
          <w:p w14:paraId="71BC3370" w14:textId="77777777" w:rsidR="006D3E47" w:rsidRPr="0036702B" w:rsidRDefault="006D3E47" w:rsidP="00B453C8">
            <w:pPr>
              <w:pStyle w:val="NormalWeb"/>
              <w:spacing w:before="60" w:beforeAutospacing="0" w:after="120" w:afterAutospacing="0"/>
              <w:ind w:left="108"/>
              <w:rPr>
                <w:rFonts w:cstheme="minorHAnsi"/>
                <w:sz w:val="22"/>
                <w:szCs w:val="22"/>
              </w:rPr>
            </w:pPr>
            <w:r w:rsidRPr="0036702B">
              <w:rPr>
                <w:rFonts w:cstheme="minorHAnsi"/>
                <w:sz w:val="22"/>
                <w:szCs w:val="22"/>
              </w:rPr>
              <w:t>A balance responsibility requires a contract proving financial security with the Imbalance Settlement Responsible of the Scheduling Area entitling the party to operate in the market.</w:t>
            </w:r>
            <w:bookmarkEnd w:id="3"/>
          </w:p>
          <w:bookmarkEnd w:id="4"/>
          <w:p w14:paraId="420E418F" w14:textId="0D1BF8EA" w:rsidR="002A41AC" w:rsidRPr="0066750A" w:rsidRDefault="002A41AC" w:rsidP="00964227">
            <w:pPr>
              <w:rPr>
                <w:rFonts w:cstheme="minorHAnsi"/>
              </w:rPr>
            </w:pPr>
          </w:p>
        </w:tc>
        <w:tc>
          <w:tcPr>
            <w:tcW w:w="4043" w:type="dxa"/>
          </w:tcPr>
          <w:p w14:paraId="37F5DEF2" w14:textId="47041669" w:rsidR="002A41AC" w:rsidRPr="0066750A" w:rsidRDefault="002A41AC" w:rsidP="006D3E47">
            <w:pPr>
              <w:rPr>
                <w:rFonts w:cstheme="minorHAnsi"/>
                <w:b/>
                <w:bCs/>
              </w:rPr>
            </w:pPr>
            <w:r w:rsidRPr="0066750A">
              <w:rPr>
                <w:rFonts w:cstheme="minorHAnsi"/>
                <w:b/>
                <w:bCs/>
              </w:rPr>
              <w:t>202</w:t>
            </w:r>
            <w:r w:rsidR="006D3E47">
              <w:rPr>
                <w:rFonts w:cstheme="minorHAnsi"/>
                <w:b/>
                <w:bCs/>
              </w:rPr>
              <w:t>30425</w:t>
            </w:r>
            <w:r w:rsidRPr="0066750A">
              <w:rPr>
                <w:rFonts w:cstheme="minorHAnsi"/>
                <w:b/>
                <w:bCs/>
              </w:rPr>
              <w:t>:</w:t>
            </w:r>
          </w:p>
          <w:p w14:paraId="78EF34A7" w14:textId="77777777" w:rsidR="006D3E47" w:rsidRDefault="006D3E47" w:rsidP="006D3E47">
            <w:pPr>
              <w:pStyle w:val="pf0"/>
              <w:spacing w:before="0" w:beforeAutospacing="0" w:after="120" w:afterAutospacing="0"/>
              <w:rPr>
                <w:rFonts w:ascii="Arial" w:hAnsi="Arial" w:cs="Arial"/>
                <w:sz w:val="20"/>
                <w:szCs w:val="20"/>
              </w:rPr>
            </w:pPr>
            <w:r>
              <w:rPr>
                <w:rStyle w:val="cf01"/>
              </w:rPr>
              <w:t>Replace with:</w:t>
            </w:r>
          </w:p>
          <w:p w14:paraId="0BC3D299" w14:textId="77777777" w:rsidR="006D3E47" w:rsidRDefault="006D3E47" w:rsidP="006D3E47">
            <w:pPr>
              <w:pStyle w:val="pf0"/>
              <w:spacing w:before="0" w:beforeAutospacing="0" w:after="120" w:afterAutospacing="0"/>
              <w:rPr>
                <w:rFonts w:ascii="Arial" w:hAnsi="Arial" w:cs="Arial"/>
                <w:sz w:val="20"/>
                <w:szCs w:val="20"/>
              </w:rPr>
            </w:pPr>
            <w:r>
              <w:rPr>
                <w:rStyle w:val="cf01"/>
              </w:rPr>
              <w:t xml:space="preserve">A party </w:t>
            </w:r>
            <w:r>
              <w:rPr>
                <w:rStyle w:val="cf21"/>
              </w:rPr>
              <w:t>responsible for its imbalances, including any imbalance adjustment within a given imbalance settlement period. The Balance Responsible Party is</w:t>
            </w:r>
            <w:r>
              <w:rPr>
                <w:rStyle w:val="cf01"/>
              </w:rPr>
              <w:t xml:space="preserve"> financially accountable for </w:t>
            </w:r>
            <w:proofErr w:type="gramStart"/>
            <w:r>
              <w:rPr>
                <w:rStyle w:val="cf31"/>
              </w:rPr>
              <w:t xml:space="preserve">the </w:t>
            </w:r>
            <w:r>
              <w:rPr>
                <w:rStyle w:val="cf21"/>
              </w:rPr>
              <w:t>its</w:t>
            </w:r>
            <w:proofErr w:type="gramEnd"/>
            <w:r>
              <w:rPr>
                <w:rStyle w:val="cf21"/>
              </w:rPr>
              <w:t xml:space="preserve"> </w:t>
            </w:r>
            <w:r>
              <w:rPr>
                <w:rStyle w:val="cf01"/>
              </w:rPr>
              <w:t>imbalances</w:t>
            </w:r>
            <w:r>
              <w:rPr>
                <w:rStyle w:val="cf31"/>
              </w:rPr>
              <w:t xml:space="preserve"> assigned to him</w:t>
            </w:r>
            <w:r>
              <w:rPr>
                <w:rStyle w:val="cf01"/>
              </w:rPr>
              <w:t>.</w:t>
            </w:r>
          </w:p>
          <w:p w14:paraId="7272E8A8" w14:textId="77777777" w:rsidR="006D3E47" w:rsidRDefault="006D3E47" w:rsidP="006D3E47">
            <w:pPr>
              <w:pStyle w:val="pf0"/>
              <w:spacing w:before="0" w:beforeAutospacing="0" w:after="120" w:afterAutospacing="0"/>
              <w:rPr>
                <w:rFonts w:ascii="Arial" w:hAnsi="Arial" w:cs="Arial"/>
                <w:sz w:val="20"/>
                <w:szCs w:val="20"/>
              </w:rPr>
            </w:pPr>
            <w:r>
              <w:rPr>
                <w:rStyle w:val="cf41"/>
              </w:rPr>
              <w:t>Source:</w:t>
            </w:r>
            <w:r>
              <w:rPr>
                <w:rStyle w:val="cf01"/>
              </w:rPr>
              <w:t xml:space="preserve"> </w:t>
            </w:r>
            <w:hyperlink r:id="rId9" w:anchor="d1e325-6-1" w:history="1">
              <w:r>
                <w:rPr>
                  <w:rStyle w:val="cf01"/>
                  <w:color w:val="0000FF"/>
                  <w:u w:val="single"/>
                </w:rPr>
                <w:t>Electricity Balancing - Art.2 Definitions.</w:t>
              </w:r>
            </w:hyperlink>
          </w:p>
          <w:p w14:paraId="3D547443" w14:textId="77777777" w:rsidR="006D3E47" w:rsidRDefault="006D3E47" w:rsidP="006D3E47">
            <w:pPr>
              <w:pStyle w:val="pf0"/>
              <w:spacing w:before="0" w:beforeAutospacing="0" w:after="0" w:afterAutospacing="0"/>
              <w:rPr>
                <w:rFonts w:ascii="Arial" w:hAnsi="Arial" w:cs="Arial"/>
                <w:sz w:val="20"/>
                <w:szCs w:val="20"/>
              </w:rPr>
            </w:pPr>
            <w:r>
              <w:rPr>
                <w:rStyle w:val="cf41"/>
              </w:rPr>
              <w:t>Additional information:</w:t>
            </w:r>
          </w:p>
          <w:p w14:paraId="6BFCF24C" w14:textId="77777777" w:rsidR="006D3E47" w:rsidRDefault="006D3E47" w:rsidP="006D3E47">
            <w:pPr>
              <w:pStyle w:val="pf0"/>
              <w:spacing w:before="0" w:beforeAutospacing="0" w:after="0" w:afterAutospacing="0"/>
              <w:rPr>
                <w:rFonts w:ascii="Arial" w:hAnsi="Arial" w:cs="Arial"/>
                <w:sz w:val="20"/>
                <w:szCs w:val="20"/>
              </w:rPr>
            </w:pPr>
            <w:r>
              <w:rPr>
                <w:rStyle w:val="cf21"/>
              </w:rPr>
              <w:t>A Balance Responsible Party is responsible for the difference between the energy volume physically fed in to or taken out from a grid and the final nominated energy volume.</w:t>
            </w:r>
          </w:p>
          <w:p w14:paraId="61E84425" w14:textId="77777777" w:rsidR="006D3E47" w:rsidRDefault="006D3E47" w:rsidP="006D3E47">
            <w:pPr>
              <w:pStyle w:val="pf0"/>
              <w:spacing w:before="0" w:beforeAutospacing="0" w:after="120" w:afterAutospacing="0"/>
              <w:rPr>
                <w:rFonts w:ascii="Arial" w:hAnsi="Arial" w:cs="Arial"/>
                <w:sz w:val="20"/>
                <w:szCs w:val="20"/>
              </w:rPr>
            </w:pPr>
            <w:r>
              <w:rPr>
                <w:rStyle w:val="cf01"/>
              </w:rPr>
              <w:t>A balance responsibility requires a contract proving financial security with the Imbalance Settlement Responsible of the Scheduling Area entitling the party to operate in the market.</w:t>
            </w:r>
          </w:p>
          <w:p w14:paraId="5B100E01" w14:textId="3EA0821A" w:rsidR="002A41AC" w:rsidRPr="006D3E47" w:rsidRDefault="006D3E47" w:rsidP="006D3E47">
            <w:pPr>
              <w:pStyle w:val="pf0"/>
              <w:spacing w:before="0" w:beforeAutospacing="0" w:after="120" w:afterAutospacing="0"/>
              <w:rPr>
                <w:rFonts w:ascii="Arial" w:hAnsi="Arial" w:cs="Arial"/>
                <w:sz w:val="20"/>
                <w:szCs w:val="20"/>
              </w:rPr>
            </w:pPr>
            <w:r>
              <w:rPr>
                <w:rStyle w:val="cf31"/>
              </w:rPr>
              <w:t>Imbalance means an energy volume calculated for a Balance Responsible Party and representing the difference between the allocated volume attributed to that Balance Responsible Party and the final position of that Balance Responsible Party, including any imbalance adjustment applied to that Balance Responsible Party, within a given imbalance settlement period.</w:t>
            </w:r>
          </w:p>
        </w:tc>
      </w:tr>
      <w:tr w:rsidR="002A41AC" w:rsidRPr="0066750A" w14:paraId="09ABA782" w14:textId="77777777" w:rsidTr="00F600E4">
        <w:trPr>
          <w:cantSplit/>
          <w:tblCellSpacing w:w="15" w:type="dxa"/>
        </w:trPr>
        <w:tc>
          <w:tcPr>
            <w:tcW w:w="556" w:type="dxa"/>
            <w:vAlign w:val="center"/>
          </w:tcPr>
          <w:p w14:paraId="28629EB4"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6A6F2333" w14:textId="77777777" w:rsidR="002A41AC" w:rsidRPr="0066750A" w:rsidRDefault="002A41AC" w:rsidP="00964227">
            <w:pPr>
              <w:rPr>
                <w:rFonts w:cstheme="minorHAnsi"/>
              </w:rPr>
            </w:pPr>
            <w:r w:rsidRPr="0066750A">
              <w:rPr>
                <w:rFonts w:cstheme="minorHAnsi"/>
              </w:rPr>
              <w:t>Balancing Service Provider</w:t>
            </w:r>
          </w:p>
        </w:tc>
        <w:tc>
          <w:tcPr>
            <w:tcW w:w="3912" w:type="dxa"/>
            <w:vAlign w:val="center"/>
          </w:tcPr>
          <w:p w14:paraId="1E520A30" w14:textId="2995D7B3" w:rsidR="00E5283A" w:rsidRDefault="0073724E" w:rsidP="00E5283A">
            <w:pPr>
              <w:pStyle w:val="NormalWeb"/>
              <w:spacing w:before="60" w:beforeAutospacing="0" w:after="240" w:afterAutospacing="0"/>
              <w:ind w:left="108"/>
              <w:rPr>
                <w:rFonts w:cstheme="minorHAnsi"/>
                <w:i/>
                <w:iCs/>
                <w:sz w:val="22"/>
                <w:szCs w:val="22"/>
              </w:rPr>
            </w:pPr>
            <w:r w:rsidRPr="0073724E">
              <w:rPr>
                <w:rFonts w:cstheme="minorHAnsi"/>
                <w:b/>
                <w:bCs/>
                <w:i/>
                <w:iCs/>
                <w:sz w:val="22"/>
                <w:szCs w:val="22"/>
              </w:rPr>
              <w:t>Proposed definition in HEMRM 2023-01</w:t>
            </w:r>
            <w:r>
              <w:rPr>
                <w:rFonts w:cstheme="minorHAnsi"/>
                <w:b/>
                <w:bCs/>
                <w:i/>
                <w:iCs/>
              </w:rPr>
              <w:t>, from HG meeting April 2023</w:t>
            </w:r>
            <w:r w:rsidRPr="0066750A">
              <w:rPr>
                <w:rFonts w:cstheme="minorHAnsi"/>
                <w:b/>
                <w:bCs/>
                <w:i/>
                <w:iCs/>
              </w:rPr>
              <w:t>:</w:t>
            </w:r>
          </w:p>
          <w:p w14:paraId="2AA8F555" w14:textId="2FD876CB" w:rsidR="00E5283A" w:rsidRPr="0036702B" w:rsidRDefault="00E5283A" w:rsidP="00E5283A">
            <w:pPr>
              <w:pStyle w:val="NormalWeb"/>
              <w:spacing w:before="60" w:beforeAutospacing="0" w:after="240" w:afterAutospacing="0"/>
              <w:ind w:left="108"/>
              <w:rPr>
                <w:rFonts w:cstheme="minorHAnsi"/>
                <w:sz w:val="22"/>
                <w:szCs w:val="22"/>
              </w:rPr>
            </w:pPr>
            <w:r w:rsidRPr="0036702B">
              <w:rPr>
                <w:rFonts w:cstheme="minorHAnsi"/>
                <w:sz w:val="22"/>
                <w:szCs w:val="22"/>
              </w:rPr>
              <w:t xml:space="preserve">A party providing energy balancing services to the energy or capacity market. </w:t>
            </w:r>
          </w:p>
          <w:p w14:paraId="2ED896D2" w14:textId="77777777" w:rsidR="00E5283A" w:rsidRPr="00240EA9" w:rsidRDefault="00E5283A" w:rsidP="00E5283A">
            <w:pPr>
              <w:ind w:left="108" w:right="142"/>
              <w:rPr>
                <w:rFonts w:cstheme="minorHAnsi"/>
                <w:b/>
                <w:lang w:eastAsia="sv-SE"/>
              </w:rPr>
            </w:pPr>
            <w:r w:rsidRPr="0036702B">
              <w:rPr>
                <w:rFonts w:cstheme="minorHAnsi"/>
                <w:b/>
              </w:rPr>
              <w:t>Additional information:</w:t>
            </w:r>
          </w:p>
          <w:p w14:paraId="461EC111" w14:textId="77777777" w:rsidR="00E5283A" w:rsidRDefault="00E5283A" w:rsidP="00E5283A">
            <w:pPr>
              <w:pStyle w:val="NormalWeb"/>
              <w:spacing w:before="60" w:beforeAutospacing="0" w:after="240" w:afterAutospacing="0"/>
              <w:ind w:left="108"/>
              <w:rPr>
                <w:rFonts w:cstheme="minorHAnsi"/>
                <w:sz w:val="22"/>
                <w:szCs w:val="22"/>
              </w:rPr>
            </w:pPr>
            <w:r w:rsidRPr="0036702B">
              <w:rPr>
                <w:rFonts w:cstheme="minorHAnsi"/>
                <w:sz w:val="22"/>
                <w:szCs w:val="22"/>
              </w:rPr>
              <w:t>Balancing services can be balancing energy and/or balancing capacity.</w:t>
            </w:r>
          </w:p>
          <w:p w14:paraId="24E18DA8" w14:textId="77777777" w:rsidR="00E5283A" w:rsidRPr="0036702B" w:rsidRDefault="00E5283A" w:rsidP="00E5283A">
            <w:pPr>
              <w:pStyle w:val="NormalWeb"/>
              <w:spacing w:before="60" w:beforeAutospacing="0" w:after="240" w:afterAutospacing="0"/>
              <w:ind w:left="108"/>
              <w:rPr>
                <w:rFonts w:cstheme="minorHAnsi"/>
                <w:sz w:val="22"/>
                <w:szCs w:val="22"/>
              </w:rPr>
            </w:pPr>
            <w:r>
              <w:rPr>
                <w:rFonts w:cstheme="minorHAnsi"/>
                <w:sz w:val="22"/>
                <w:szCs w:val="22"/>
              </w:rPr>
              <w:t>This is a type of Flexibility Service Provider.</w:t>
            </w:r>
          </w:p>
          <w:p w14:paraId="750C5623" w14:textId="7C042FC2" w:rsidR="002A41AC" w:rsidRPr="0066750A" w:rsidRDefault="00E5283A" w:rsidP="00E5283A">
            <w:pPr>
              <w:rPr>
                <w:rFonts w:cstheme="minorHAnsi"/>
              </w:rPr>
            </w:pPr>
            <w:r w:rsidRPr="00240EA9">
              <w:rPr>
                <w:rFonts w:cstheme="minorHAnsi"/>
                <w:b/>
                <w:bCs/>
                <w:lang w:eastAsia="en-US"/>
              </w:rPr>
              <w:t>Source:</w:t>
            </w:r>
            <w:r w:rsidRPr="0036702B">
              <w:rPr>
                <w:rFonts w:cstheme="minorHAnsi"/>
              </w:rPr>
              <w:t xml:space="preserve"> </w:t>
            </w:r>
            <w:hyperlink r:id="rId10" w:anchor="d1e325-6-1" w:history="1">
              <w:r w:rsidRPr="0036702B">
                <w:rPr>
                  <w:rStyle w:val="Hyperlink"/>
                  <w:rFonts w:cstheme="minorHAnsi"/>
                </w:rPr>
                <w:t>Electricity Balancing - Art.2 Definitions</w:t>
              </w:r>
            </w:hyperlink>
            <w:r w:rsidRPr="0036702B">
              <w:rPr>
                <w:rFonts w:cstheme="minorHAnsi"/>
              </w:rPr>
              <w:t xml:space="preserve"> and</w:t>
            </w:r>
            <w:r w:rsidRPr="0036702B">
              <w:rPr>
                <w:rFonts w:cstheme="minorHAnsi"/>
                <w:u w:val="single"/>
              </w:rPr>
              <w:t xml:space="preserve"> </w:t>
            </w:r>
            <w:hyperlink r:id="rId11" w:history="1">
              <w:r w:rsidRPr="0036702B">
                <w:rPr>
                  <w:rStyle w:val="Hyperlink"/>
                  <w:rFonts w:cstheme="minorHAnsi"/>
                </w:rPr>
                <w:t>Regulation on the internal market for electricity (EU) 2019/943</w:t>
              </w:r>
            </w:hyperlink>
            <w:r w:rsidRPr="0036702B">
              <w:rPr>
                <w:rFonts w:cstheme="minorHAnsi"/>
              </w:rPr>
              <w:t>.</w:t>
            </w:r>
          </w:p>
        </w:tc>
        <w:tc>
          <w:tcPr>
            <w:tcW w:w="4043" w:type="dxa"/>
          </w:tcPr>
          <w:p w14:paraId="75516E61" w14:textId="200CA4C6" w:rsidR="002A41AC" w:rsidRPr="0066750A" w:rsidRDefault="002A41AC" w:rsidP="00964227">
            <w:pPr>
              <w:rPr>
                <w:rFonts w:cstheme="minorHAnsi"/>
                <w:b/>
                <w:bCs/>
              </w:rPr>
            </w:pPr>
            <w:r w:rsidRPr="0066750A">
              <w:rPr>
                <w:rFonts w:cstheme="minorHAnsi"/>
                <w:b/>
                <w:bCs/>
              </w:rPr>
              <w:t>202</w:t>
            </w:r>
            <w:r w:rsidR="006D3E47">
              <w:rPr>
                <w:rFonts w:cstheme="minorHAnsi"/>
                <w:b/>
                <w:bCs/>
              </w:rPr>
              <w:t>30425</w:t>
            </w:r>
            <w:r w:rsidRPr="0066750A">
              <w:rPr>
                <w:rFonts w:cstheme="minorHAnsi"/>
                <w:b/>
                <w:bCs/>
              </w:rPr>
              <w:t>:</w:t>
            </w:r>
          </w:p>
          <w:p w14:paraId="5504C18B" w14:textId="4348EEBE" w:rsidR="002A41AC" w:rsidRPr="0066750A" w:rsidRDefault="006D3E47" w:rsidP="006D3E47">
            <w:pPr>
              <w:pStyle w:val="ListParagraph"/>
              <w:numPr>
                <w:ilvl w:val="0"/>
                <w:numId w:val="26"/>
              </w:numPr>
              <w:ind w:left="243" w:hanging="218"/>
              <w:rPr>
                <w:rFonts w:asciiTheme="minorHAnsi" w:hAnsiTheme="minorHAnsi"/>
              </w:rPr>
            </w:pPr>
            <w:r>
              <w:rPr>
                <w:rFonts w:asciiTheme="minorHAnsi" w:hAnsiTheme="minorHAnsi"/>
              </w:rPr>
              <w:t>Add</w:t>
            </w:r>
            <w:r w:rsidR="002A41AC" w:rsidRPr="0066750A">
              <w:rPr>
                <w:rFonts w:asciiTheme="minorHAnsi" w:hAnsiTheme="minorHAnsi"/>
              </w:rPr>
              <w:t xml:space="preserve"> the Flexibility Service Provider (FSP) and make the BSP a specialisation of the FSP, with the following definition:</w:t>
            </w:r>
          </w:p>
          <w:p w14:paraId="3E9ED0C9" w14:textId="77777777" w:rsidR="006D3E47" w:rsidRPr="00140D3C" w:rsidRDefault="006D3E47" w:rsidP="006D3E47">
            <w:pPr>
              <w:ind w:left="720"/>
              <w:rPr>
                <w:rFonts w:cstheme="minorHAnsi"/>
              </w:rPr>
            </w:pPr>
            <w:r w:rsidRPr="00140D3C">
              <w:rPr>
                <w:rFonts w:cstheme="minorHAnsi"/>
              </w:rPr>
              <w:t>A party that offers flexibility services to the energy and/or capacity market(s) based on acquired (aggregated) capabilities</w:t>
            </w:r>
            <w:r>
              <w:rPr>
                <w:rFonts w:cstheme="minorHAnsi"/>
              </w:rPr>
              <w:t>.</w:t>
            </w:r>
          </w:p>
          <w:p w14:paraId="6DBC972B" w14:textId="77777777" w:rsidR="006D3E47" w:rsidRDefault="006D3E47" w:rsidP="00E5283A">
            <w:pPr>
              <w:spacing w:after="0"/>
              <w:ind w:left="720"/>
              <w:rPr>
                <w:rFonts w:cstheme="minorHAnsi"/>
              </w:rPr>
            </w:pPr>
            <w:r>
              <w:rPr>
                <w:rFonts w:cstheme="minorHAnsi"/>
                <w:b/>
                <w:bCs/>
              </w:rPr>
              <w:t>Additional information:</w:t>
            </w:r>
          </w:p>
          <w:p w14:paraId="64EBCFA0" w14:textId="77777777" w:rsidR="002A41AC" w:rsidRDefault="006D3E47" w:rsidP="00E5283A">
            <w:pPr>
              <w:ind w:left="720"/>
              <w:rPr>
                <w:rFonts w:cstheme="minorHAnsi"/>
              </w:rPr>
            </w:pPr>
            <w:r w:rsidRPr="00EF2B6B">
              <w:rPr>
                <w:rFonts w:cstheme="minorHAnsi"/>
              </w:rPr>
              <w:t>Flexibility is used to meet the needs of energy market participants or System Operators on different energy</w:t>
            </w:r>
            <w:r>
              <w:rPr>
                <w:rFonts w:cstheme="minorHAnsi"/>
              </w:rPr>
              <w:noBreakHyphen/>
              <w:t>,</w:t>
            </w:r>
            <w:r w:rsidRPr="00EF2B6B">
              <w:rPr>
                <w:rFonts w:cstheme="minorHAnsi"/>
              </w:rPr>
              <w:t xml:space="preserve"> power </w:t>
            </w:r>
            <w:r>
              <w:rPr>
                <w:rFonts w:cstheme="minorHAnsi"/>
              </w:rPr>
              <w:t xml:space="preserve">or capacity </w:t>
            </w:r>
            <w:r w:rsidRPr="00EF2B6B">
              <w:rPr>
                <w:rFonts w:cstheme="minorHAnsi"/>
              </w:rPr>
              <w:t>marketplaces.</w:t>
            </w:r>
            <w:r>
              <w:rPr>
                <w:rFonts w:cstheme="minorHAnsi"/>
              </w:rPr>
              <w:t xml:space="preserve"> F</w:t>
            </w:r>
            <w:r w:rsidRPr="00EF2B6B">
              <w:rPr>
                <w:rFonts w:cstheme="minorHAnsi"/>
                <w:bCs/>
              </w:rPr>
              <w:t>lexibility Services</w:t>
            </w:r>
            <w:r w:rsidRPr="00EF2B6B">
              <w:rPr>
                <w:rFonts w:cstheme="minorHAnsi"/>
              </w:rPr>
              <w:t xml:space="preserve"> </w:t>
            </w:r>
            <w:r>
              <w:rPr>
                <w:rFonts w:cstheme="minorHAnsi"/>
              </w:rPr>
              <w:t xml:space="preserve">may be </w:t>
            </w:r>
            <w:r w:rsidRPr="00EF2B6B">
              <w:rPr>
                <w:rFonts w:cstheme="minorHAnsi"/>
              </w:rPr>
              <w:t>balancing</w:t>
            </w:r>
            <w:r>
              <w:rPr>
                <w:rFonts w:cstheme="minorHAnsi"/>
              </w:rPr>
              <w:t xml:space="preserve"> </w:t>
            </w:r>
            <w:r w:rsidRPr="00EF2B6B">
              <w:rPr>
                <w:rFonts w:cstheme="minorHAnsi"/>
              </w:rPr>
              <w:t xml:space="preserve">services, </w:t>
            </w:r>
            <w:r>
              <w:rPr>
                <w:rFonts w:cstheme="minorHAnsi"/>
              </w:rPr>
              <w:t xml:space="preserve">capacity </w:t>
            </w:r>
            <w:r w:rsidRPr="00EF2B6B">
              <w:rPr>
                <w:rFonts w:cstheme="minorHAnsi"/>
              </w:rPr>
              <w:t>services</w:t>
            </w:r>
            <w:r>
              <w:rPr>
                <w:rFonts w:cstheme="minorHAnsi"/>
              </w:rPr>
              <w:t xml:space="preserve">, </w:t>
            </w:r>
            <w:r w:rsidRPr="00EF2B6B">
              <w:rPr>
                <w:rFonts w:cstheme="minorHAnsi"/>
              </w:rPr>
              <w:t>non-frequency ancillary</w:t>
            </w:r>
            <w:r w:rsidRPr="00140D3C">
              <w:rPr>
                <w:rFonts w:cstheme="minorHAnsi"/>
              </w:rPr>
              <w:t xml:space="preserve"> </w:t>
            </w:r>
            <w:r w:rsidRPr="00EF2B6B">
              <w:rPr>
                <w:rFonts w:cstheme="minorHAnsi"/>
              </w:rPr>
              <w:t>services, congestion management services etc.</w:t>
            </w:r>
          </w:p>
          <w:p w14:paraId="458908EA" w14:textId="77777777" w:rsidR="00133189" w:rsidRPr="00EF2B6B" w:rsidRDefault="00133189" w:rsidP="00133189">
            <w:pPr>
              <w:ind w:left="230"/>
              <w:rPr>
                <w:rFonts w:cstheme="minorHAnsi"/>
              </w:rPr>
            </w:pPr>
            <w:r>
              <w:rPr>
                <w:rFonts w:cstheme="minorHAnsi"/>
              </w:rPr>
              <w:t>And the following new links:</w:t>
            </w:r>
          </w:p>
          <w:p w14:paraId="3527C00A" w14:textId="77777777" w:rsidR="00133189" w:rsidRDefault="00133189" w:rsidP="00133189">
            <w:pPr>
              <w:jc w:val="center"/>
            </w:pPr>
            <w:r>
              <w:rPr>
                <w:noProof/>
              </w:rPr>
              <w:drawing>
                <wp:inline distT="0" distB="0" distL="0" distR="0" wp14:anchorId="1566E483" wp14:editId="57C7E274">
                  <wp:extent cx="3429317" cy="1733501"/>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stretch>
                            <a:fillRect/>
                          </a:stretch>
                        </pic:blipFill>
                        <pic:spPr>
                          <a:xfrm>
                            <a:off x="0" y="0"/>
                            <a:ext cx="3456765" cy="1747376"/>
                          </a:xfrm>
                          <a:prstGeom prst="rect">
                            <a:avLst/>
                          </a:prstGeom>
                        </pic:spPr>
                      </pic:pic>
                    </a:graphicData>
                  </a:graphic>
                </wp:inline>
              </w:drawing>
            </w:r>
          </w:p>
          <w:p w14:paraId="50FF20F7" w14:textId="77777777" w:rsidR="00133189" w:rsidRDefault="00133189" w:rsidP="00133189">
            <w:pPr>
              <w:pStyle w:val="ListParagraph"/>
              <w:numPr>
                <w:ilvl w:val="0"/>
                <w:numId w:val="39"/>
              </w:numPr>
              <w:autoSpaceDE/>
              <w:autoSpaceDN/>
              <w:spacing w:after="0"/>
              <w:ind w:left="714" w:hanging="357"/>
            </w:pPr>
            <w:r>
              <w:t>Add an association from the FSP to the Resource.</w:t>
            </w:r>
          </w:p>
          <w:p w14:paraId="66A07BB2" w14:textId="77777777" w:rsidR="00133189" w:rsidRDefault="00133189" w:rsidP="00133189">
            <w:pPr>
              <w:pStyle w:val="ListParagraph"/>
              <w:numPr>
                <w:ilvl w:val="0"/>
                <w:numId w:val="39"/>
              </w:numPr>
              <w:autoSpaceDE/>
              <w:autoSpaceDN/>
              <w:spacing w:after="0"/>
              <w:ind w:left="714" w:hanging="357"/>
            </w:pPr>
            <w:r>
              <w:t>Add an association from AP to Resource.</w:t>
            </w:r>
          </w:p>
          <w:p w14:paraId="35B63EF2" w14:textId="77777777" w:rsidR="00133189" w:rsidRDefault="00133189" w:rsidP="00133189">
            <w:pPr>
              <w:pStyle w:val="ListParagraph"/>
              <w:numPr>
                <w:ilvl w:val="0"/>
                <w:numId w:val="39"/>
              </w:numPr>
              <w:autoSpaceDE/>
              <w:autoSpaceDN/>
              <w:spacing w:after="0"/>
              <w:ind w:left="714" w:hanging="357"/>
            </w:pPr>
            <w:r>
              <w:t>Add a generalisation from BSP to FSP.</w:t>
            </w:r>
          </w:p>
          <w:p w14:paraId="2B99973E" w14:textId="3DA927E7" w:rsidR="00133189" w:rsidRDefault="00133189" w:rsidP="00133189">
            <w:pPr>
              <w:pStyle w:val="ListParagraph"/>
              <w:numPr>
                <w:ilvl w:val="0"/>
                <w:numId w:val="39"/>
              </w:numPr>
              <w:autoSpaceDE/>
              <w:autoSpaceDN/>
            </w:pPr>
            <w:r>
              <w:t>Move the blue association that currently goes “from Resource to MP” to go “from Resource to AP”. The reason being that it is unlikely that an Exchange Point has Resource(s) linked to it</w:t>
            </w:r>
            <w:r w:rsidR="005F2ED5">
              <w:t>. And, change the cardinality of the association from Resource to Metering Point from [</w:t>
            </w:r>
            <w:proofErr w:type="gramStart"/>
            <w:r w:rsidR="005F2ED5">
              <w:t>1..</w:t>
            </w:r>
            <w:proofErr w:type="gramEnd"/>
            <w:r w:rsidR="005F2ED5">
              <w:t>*] to [1].</w:t>
            </w:r>
          </w:p>
          <w:p w14:paraId="3E4BEA62" w14:textId="77777777" w:rsidR="00133189" w:rsidRDefault="00133189" w:rsidP="00133189">
            <w:pPr>
              <w:ind w:left="230"/>
            </w:pPr>
            <w:r w:rsidRPr="00133189">
              <w:rPr>
                <w:rFonts w:cstheme="minorHAnsi"/>
              </w:rPr>
              <w:t>For</w:t>
            </w:r>
            <w:r>
              <w:t xml:space="preserve"> the BSP we should add an “Additional information”:</w:t>
            </w:r>
          </w:p>
          <w:p w14:paraId="10B1A24A" w14:textId="686ED06A" w:rsidR="00133189" w:rsidRPr="0066750A" w:rsidRDefault="00133189" w:rsidP="00133189">
            <w:pPr>
              <w:ind w:left="720"/>
              <w:rPr>
                <w:rFonts w:cstheme="minorHAnsi"/>
              </w:rPr>
            </w:pPr>
            <w:r w:rsidRPr="00133189">
              <w:rPr>
                <w:rFonts w:cstheme="minorHAnsi"/>
              </w:rPr>
              <w:t>This</w:t>
            </w:r>
            <w:r>
              <w:t xml:space="preserve"> is a type of Flexibility Service Provider.</w:t>
            </w:r>
          </w:p>
        </w:tc>
      </w:tr>
      <w:tr w:rsidR="002A41AC" w:rsidRPr="0066750A" w14:paraId="4595D59D" w14:textId="77777777" w:rsidTr="00F600E4">
        <w:trPr>
          <w:cantSplit/>
          <w:tblCellSpacing w:w="15" w:type="dxa"/>
        </w:trPr>
        <w:tc>
          <w:tcPr>
            <w:tcW w:w="556" w:type="dxa"/>
            <w:vAlign w:val="center"/>
            <w:hideMark/>
          </w:tcPr>
          <w:p w14:paraId="1945E9AA"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2A21E485" w14:textId="77777777" w:rsidR="002A41AC" w:rsidRPr="0066750A" w:rsidRDefault="002A41AC" w:rsidP="00964227">
            <w:pPr>
              <w:rPr>
                <w:rFonts w:cstheme="minorHAnsi"/>
              </w:rPr>
            </w:pPr>
            <w:r w:rsidRPr="0066750A">
              <w:rPr>
                <w:rFonts w:cstheme="minorHAnsi"/>
              </w:rPr>
              <w:t>Billing Agent</w:t>
            </w:r>
          </w:p>
        </w:tc>
        <w:tc>
          <w:tcPr>
            <w:tcW w:w="3912" w:type="dxa"/>
            <w:vAlign w:val="center"/>
          </w:tcPr>
          <w:p w14:paraId="714879E9" w14:textId="77777777" w:rsidR="002A41AC" w:rsidRPr="0066750A" w:rsidRDefault="002A41AC" w:rsidP="00964227">
            <w:pPr>
              <w:rPr>
                <w:rFonts w:cstheme="minorHAnsi"/>
              </w:rPr>
            </w:pPr>
            <w:r w:rsidRPr="0066750A">
              <w:rPr>
                <w:rFonts w:cstheme="minorHAnsi"/>
              </w:rPr>
              <w:t>The party responsible for invoicing a concerned party.</w:t>
            </w:r>
          </w:p>
        </w:tc>
        <w:tc>
          <w:tcPr>
            <w:tcW w:w="4043" w:type="dxa"/>
          </w:tcPr>
          <w:p w14:paraId="0479D74F" w14:textId="77777777" w:rsidR="002A41AC" w:rsidRPr="0066750A" w:rsidRDefault="002A41AC" w:rsidP="00964227">
            <w:pPr>
              <w:rPr>
                <w:rFonts w:cstheme="minorHAnsi"/>
              </w:rPr>
            </w:pPr>
            <w:r w:rsidRPr="0066750A">
              <w:rPr>
                <w:rFonts w:cstheme="minorHAnsi"/>
                <w:b/>
                <w:bCs/>
              </w:rPr>
              <w:t>20221017:</w:t>
            </w:r>
          </w:p>
          <w:p w14:paraId="5145A852"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Rephrase to:</w:t>
            </w:r>
          </w:p>
          <w:p w14:paraId="78573B96" w14:textId="77777777" w:rsidR="002A41AC" w:rsidRPr="0066750A" w:rsidRDefault="002A41AC" w:rsidP="00964227">
            <w:pPr>
              <w:ind w:left="529"/>
              <w:rPr>
                <w:rFonts w:cstheme="minorHAnsi"/>
                <w:b/>
                <w:bCs/>
              </w:rPr>
            </w:pPr>
            <w:r w:rsidRPr="0066750A">
              <w:rPr>
                <w:rFonts w:cstheme="minorHAnsi"/>
                <w:strike/>
              </w:rPr>
              <w:t>The</w:t>
            </w:r>
            <w:r w:rsidRPr="0066750A">
              <w:rPr>
                <w:rFonts w:cstheme="minorHAnsi"/>
              </w:rPr>
              <w:t xml:space="preserve"> </w:t>
            </w:r>
            <w:r w:rsidRPr="0066750A">
              <w:rPr>
                <w:rFonts w:cstheme="minorHAnsi"/>
                <w:color w:val="C00000"/>
              </w:rPr>
              <w:t xml:space="preserve">A </w:t>
            </w:r>
            <w:r w:rsidRPr="0066750A">
              <w:rPr>
                <w:rFonts w:cstheme="minorHAnsi"/>
              </w:rPr>
              <w:t xml:space="preserve">party </w:t>
            </w:r>
            <w:r w:rsidRPr="0066750A">
              <w:rPr>
                <w:rFonts w:cstheme="minorHAnsi"/>
                <w:color w:val="C00000"/>
              </w:rPr>
              <w:t xml:space="preserve">servicing the </w:t>
            </w:r>
            <w:r w:rsidRPr="0066750A">
              <w:rPr>
                <w:rFonts w:cstheme="minorHAnsi"/>
                <w:strike/>
              </w:rPr>
              <w:t>responsible for</w:t>
            </w:r>
            <w:r w:rsidRPr="0066750A">
              <w:rPr>
                <w:rFonts w:cstheme="minorHAnsi"/>
              </w:rPr>
              <w:t xml:space="preserve"> invoicing </w:t>
            </w:r>
            <w:r w:rsidRPr="0066750A">
              <w:rPr>
                <w:rFonts w:cstheme="minorHAnsi"/>
                <w:color w:val="C00000"/>
              </w:rPr>
              <w:t xml:space="preserve">for one or more </w:t>
            </w:r>
            <w:r w:rsidRPr="0066750A">
              <w:rPr>
                <w:rFonts w:cstheme="minorHAnsi"/>
                <w:strike/>
              </w:rPr>
              <w:t>a</w:t>
            </w:r>
            <w:r w:rsidRPr="0066750A">
              <w:rPr>
                <w:rFonts w:cstheme="minorHAnsi"/>
              </w:rPr>
              <w:t xml:space="preserve"> </w:t>
            </w:r>
            <w:r w:rsidRPr="0066750A">
              <w:rPr>
                <w:rFonts w:cstheme="minorHAnsi"/>
                <w:strike/>
              </w:rPr>
              <w:t>concerned</w:t>
            </w:r>
            <w:r w:rsidRPr="0066750A">
              <w:rPr>
                <w:rFonts w:cstheme="minorHAnsi"/>
              </w:rPr>
              <w:t xml:space="preserve"> party</w:t>
            </w:r>
            <w:r w:rsidRPr="0066750A">
              <w:rPr>
                <w:rFonts w:cstheme="minorHAnsi"/>
                <w:color w:val="C00000"/>
              </w:rPr>
              <w:t>/parties</w:t>
            </w:r>
            <w:r w:rsidRPr="0066750A">
              <w:rPr>
                <w:rFonts w:cstheme="minorHAnsi"/>
              </w:rPr>
              <w:t>.</w:t>
            </w:r>
          </w:p>
        </w:tc>
      </w:tr>
      <w:tr w:rsidR="002A41AC" w:rsidRPr="0066750A" w14:paraId="4532088D" w14:textId="77777777" w:rsidTr="00F600E4">
        <w:trPr>
          <w:cantSplit/>
          <w:tblCellSpacing w:w="15" w:type="dxa"/>
        </w:trPr>
        <w:tc>
          <w:tcPr>
            <w:tcW w:w="556" w:type="dxa"/>
            <w:vAlign w:val="center"/>
            <w:hideMark/>
          </w:tcPr>
          <w:p w14:paraId="2030C613" w14:textId="77777777" w:rsidR="002A41AC" w:rsidRPr="0066750A" w:rsidRDefault="002A41AC" w:rsidP="00964227">
            <w:pPr>
              <w:rPr>
                <w:rFonts w:cstheme="minorHAnsi"/>
              </w:rPr>
            </w:pPr>
            <w:r w:rsidRPr="0066750A">
              <w:rPr>
                <w:rFonts w:cstheme="minorHAnsi"/>
              </w:rPr>
              <w:t>Role</w:t>
            </w:r>
          </w:p>
        </w:tc>
        <w:tc>
          <w:tcPr>
            <w:tcW w:w="1518" w:type="dxa"/>
            <w:vAlign w:val="center"/>
          </w:tcPr>
          <w:p w14:paraId="0A2B78CF" w14:textId="77777777" w:rsidR="002A41AC" w:rsidRPr="0066750A" w:rsidRDefault="002A41AC" w:rsidP="00964227">
            <w:pPr>
              <w:rPr>
                <w:rFonts w:cstheme="minorHAnsi"/>
              </w:rPr>
            </w:pPr>
            <w:r w:rsidRPr="0066750A">
              <w:rPr>
                <w:rFonts w:cstheme="minorHAnsi"/>
              </w:rPr>
              <w:t>Capacity Trader</w:t>
            </w:r>
          </w:p>
        </w:tc>
        <w:tc>
          <w:tcPr>
            <w:tcW w:w="3912" w:type="dxa"/>
            <w:vAlign w:val="center"/>
          </w:tcPr>
          <w:p w14:paraId="40C64FA0" w14:textId="77777777" w:rsidR="002A41AC" w:rsidRPr="0066750A" w:rsidRDefault="002A41AC" w:rsidP="00964227">
            <w:pPr>
              <w:rPr>
                <w:rFonts w:cstheme="minorHAnsi"/>
              </w:rPr>
            </w:pPr>
            <w:r w:rsidRPr="0066750A">
              <w:rPr>
                <w:rFonts w:cstheme="minorHAnsi"/>
              </w:rPr>
              <w:t>A party that has a contract to participate in the Capacity Market to acquire capacity through a Transmission Capacity Allocator.</w:t>
            </w:r>
          </w:p>
          <w:p w14:paraId="12E99055" w14:textId="77777777" w:rsidR="002A41AC" w:rsidRPr="0066750A" w:rsidRDefault="002A41AC" w:rsidP="00964227">
            <w:pPr>
              <w:rPr>
                <w:rFonts w:cstheme="minorHAnsi"/>
              </w:rPr>
            </w:pPr>
            <w:r w:rsidRPr="0066750A">
              <w:rPr>
                <w:rFonts w:cstheme="minorHAnsi"/>
              </w:rPr>
              <w:t>Note:</w:t>
            </w:r>
          </w:p>
          <w:p w14:paraId="2552D33D" w14:textId="77777777" w:rsidR="002A41AC" w:rsidRPr="0066750A" w:rsidRDefault="002A41AC" w:rsidP="00964227">
            <w:pPr>
              <w:rPr>
                <w:rFonts w:cstheme="minorHAnsi"/>
              </w:rPr>
            </w:pPr>
            <w:r w:rsidRPr="0066750A">
              <w:rPr>
                <w:rFonts w:cstheme="minorHAnsi"/>
              </w:rPr>
              <w:t>The capacity may be acquired on behalf of an Interconnection Trade Responsible or for sale on secondary capacity markets.</w:t>
            </w:r>
          </w:p>
        </w:tc>
        <w:tc>
          <w:tcPr>
            <w:tcW w:w="4043" w:type="dxa"/>
          </w:tcPr>
          <w:p w14:paraId="757E9423" w14:textId="77777777" w:rsidR="002A41AC" w:rsidRPr="0066750A" w:rsidRDefault="002A41AC" w:rsidP="00964227">
            <w:pPr>
              <w:rPr>
                <w:rFonts w:cstheme="minorHAnsi"/>
              </w:rPr>
            </w:pPr>
            <w:r w:rsidRPr="0066750A">
              <w:rPr>
                <w:rFonts w:cstheme="minorHAnsi"/>
                <w:b/>
                <w:bCs/>
              </w:rPr>
              <w:t>20221017:</w:t>
            </w:r>
          </w:p>
          <w:p w14:paraId="1405FFC6"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Contract with whom?</w:t>
            </w:r>
          </w:p>
        </w:tc>
      </w:tr>
      <w:tr w:rsidR="002A41AC" w:rsidRPr="0066750A" w14:paraId="58FE46C3" w14:textId="77777777" w:rsidTr="00F600E4">
        <w:trPr>
          <w:cantSplit/>
          <w:tblCellSpacing w:w="15" w:type="dxa"/>
        </w:trPr>
        <w:tc>
          <w:tcPr>
            <w:tcW w:w="556" w:type="dxa"/>
            <w:vAlign w:val="center"/>
            <w:hideMark/>
          </w:tcPr>
          <w:p w14:paraId="2B7ED6DA"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C052391" w14:textId="77777777" w:rsidR="002A41AC" w:rsidRPr="0066750A" w:rsidRDefault="002A41AC" w:rsidP="00964227">
            <w:pPr>
              <w:rPr>
                <w:rFonts w:cstheme="minorHAnsi"/>
              </w:rPr>
            </w:pPr>
            <w:r w:rsidRPr="0066750A">
              <w:rPr>
                <w:rFonts w:cstheme="minorHAnsi"/>
              </w:rPr>
              <w:t>Consumer</w:t>
            </w:r>
          </w:p>
        </w:tc>
        <w:tc>
          <w:tcPr>
            <w:tcW w:w="3912" w:type="dxa"/>
            <w:vAlign w:val="center"/>
          </w:tcPr>
          <w:p w14:paraId="2C323843" w14:textId="77777777" w:rsidR="002A41AC" w:rsidRPr="0066750A" w:rsidRDefault="002A41AC" w:rsidP="00964227">
            <w:pPr>
              <w:rPr>
                <w:rFonts w:cstheme="minorHAnsi"/>
              </w:rPr>
            </w:pPr>
            <w:r w:rsidRPr="0066750A">
              <w:rPr>
                <w:rFonts w:cstheme="minorHAnsi"/>
              </w:rPr>
              <w:t>A party that consumes energy.</w:t>
            </w:r>
          </w:p>
          <w:p w14:paraId="1DA519DD" w14:textId="77777777" w:rsidR="002A41AC" w:rsidRPr="0066750A" w:rsidRDefault="002A41AC" w:rsidP="00964227">
            <w:pPr>
              <w:rPr>
                <w:rFonts w:cstheme="minorHAnsi"/>
                <w:b/>
                <w:bCs/>
              </w:rPr>
            </w:pPr>
            <w:r w:rsidRPr="0066750A">
              <w:rPr>
                <w:rFonts w:cstheme="minorHAnsi"/>
                <w:b/>
                <w:bCs/>
              </w:rPr>
              <w:t xml:space="preserve">Additional information: </w:t>
            </w:r>
          </w:p>
          <w:p w14:paraId="61DDFD9D" w14:textId="77777777" w:rsidR="002A41AC" w:rsidRPr="0066750A" w:rsidRDefault="002A41AC" w:rsidP="00964227">
            <w:pPr>
              <w:rPr>
                <w:rFonts w:cstheme="minorHAnsi"/>
              </w:rPr>
            </w:pPr>
            <w:r w:rsidRPr="0066750A">
              <w:rPr>
                <w:rFonts w:cstheme="minorHAnsi"/>
              </w:rPr>
              <w:t>This is a Type of Party Connected to the Grid.</w:t>
            </w:r>
          </w:p>
        </w:tc>
        <w:tc>
          <w:tcPr>
            <w:tcW w:w="4043" w:type="dxa"/>
          </w:tcPr>
          <w:p w14:paraId="1C575112" w14:textId="77777777" w:rsidR="002A41AC" w:rsidRPr="0066750A" w:rsidRDefault="002A41AC" w:rsidP="00964227">
            <w:pPr>
              <w:rPr>
                <w:rFonts w:cstheme="minorHAnsi"/>
              </w:rPr>
            </w:pPr>
            <w:r w:rsidRPr="0066750A">
              <w:rPr>
                <w:rFonts w:cstheme="minorHAnsi"/>
                <w:b/>
                <w:bCs/>
              </w:rPr>
              <w:t>20221017:</w:t>
            </w:r>
          </w:p>
          <w:p w14:paraId="12C6357A" w14:textId="77777777" w:rsidR="004B61CE" w:rsidRPr="0066750A" w:rsidRDefault="004B61CE"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 xml:space="preserve">Bring the definition of Consumer in line with the definition of Final Customer from Directive </w:t>
            </w:r>
            <w:hyperlink r:id="rId13" w:history="1">
              <w:r w:rsidRPr="0066750A">
                <w:rPr>
                  <w:rStyle w:val="Hyperlink"/>
                  <w:rFonts w:asciiTheme="minorHAnsi" w:hAnsiTheme="minorHAnsi"/>
                </w:rPr>
                <w:t>2019/944</w:t>
              </w:r>
            </w:hyperlink>
            <w:r w:rsidRPr="0066750A">
              <w:rPr>
                <w:rFonts w:asciiTheme="minorHAnsi" w:hAnsiTheme="minorHAnsi"/>
              </w:rPr>
              <w:t xml:space="preserve"> (‘final customer’ means a customer who purchases electricity for own use), while keeping the Party Connected to the Grid in the HEMRM</w:t>
            </w:r>
          </w:p>
        </w:tc>
      </w:tr>
      <w:tr w:rsidR="002A41AC" w:rsidRPr="0066750A" w14:paraId="686A83D5" w14:textId="77777777" w:rsidTr="00F600E4">
        <w:trPr>
          <w:cantSplit/>
          <w:tblCellSpacing w:w="15" w:type="dxa"/>
        </w:trPr>
        <w:tc>
          <w:tcPr>
            <w:tcW w:w="556" w:type="dxa"/>
            <w:vAlign w:val="center"/>
            <w:hideMark/>
          </w:tcPr>
          <w:p w14:paraId="2DED7E95" w14:textId="77777777" w:rsidR="002A41AC" w:rsidRPr="0066750A" w:rsidRDefault="002A41AC" w:rsidP="00964227">
            <w:pPr>
              <w:rPr>
                <w:rFonts w:cstheme="minorHAnsi"/>
              </w:rPr>
            </w:pPr>
            <w:r w:rsidRPr="0066750A">
              <w:rPr>
                <w:rFonts w:cstheme="minorHAnsi"/>
              </w:rPr>
              <w:t>Role</w:t>
            </w:r>
          </w:p>
        </w:tc>
        <w:tc>
          <w:tcPr>
            <w:tcW w:w="1518" w:type="dxa"/>
            <w:vAlign w:val="center"/>
          </w:tcPr>
          <w:p w14:paraId="0B1DE882" w14:textId="77777777" w:rsidR="002A41AC" w:rsidRPr="0066750A" w:rsidRDefault="002A41AC" w:rsidP="00964227">
            <w:pPr>
              <w:rPr>
                <w:rFonts w:cstheme="minorHAnsi"/>
              </w:rPr>
            </w:pPr>
            <w:r w:rsidRPr="0066750A">
              <w:rPr>
                <w:rFonts w:cstheme="minorHAnsi"/>
              </w:rPr>
              <w:t>Consumption Responsible Party</w:t>
            </w:r>
          </w:p>
        </w:tc>
        <w:tc>
          <w:tcPr>
            <w:tcW w:w="3912" w:type="dxa"/>
            <w:vAlign w:val="center"/>
          </w:tcPr>
          <w:p w14:paraId="156D768E" w14:textId="77777777" w:rsidR="002A41AC" w:rsidRPr="0066750A" w:rsidRDefault="002A41AC" w:rsidP="00964227">
            <w:pPr>
              <w:rPr>
                <w:rFonts w:cstheme="minorHAnsi"/>
              </w:rPr>
            </w:pPr>
            <w:r w:rsidRPr="0066750A">
              <w:rPr>
                <w:rFonts w:cstheme="minorHAnsi"/>
              </w:rPr>
              <w:t>A Consumption Responsible Party is responsible for its imbalances, meaning the difference between the energy volume physically withdrawn from the system and the final nominated energy volume, including any imbalance adjustment within a given imbalance settlement period.</w:t>
            </w:r>
          </w:p>
          <w:p w14:paraId="2369E953" w14:textId="77777777" w:rsidR="002A41AC" w:rsidRPr="0066750A" w:rsidRDefault="002A41AC" w:rsidP="00964227">
            <w:pPr>
              <w:rPr>
                <w:rFonts w:cstheme="minorHAnsi"/>
                <w:b/>
                <w:bCs/>
              </w:rPr>
            </w:pPr>
            <w:r w:rsidRPr="0066750A">
              <w:rPr>
                <w:rFonts w:cstheme="minorHAnsi"/>
                <w:b/>
                <w:bCs/>
              </w:rPr>
              <w:t>Additional information:</w:t>
            </w:r>
          </w:p>
          <w:p w14:paraId="3128D06C" w14:textId="77777777" w:rsidR="002A41AC" w:rsidRPr="0066750A" w:rsidRDefault="002A41AC" w:rsidP="00964227">
            <w:pPr>
              <w:rPr>
                <w:rFonts w:cstheme="minorHAnsi"/>
              </w:rPr>
            </w:pPr>
            <w:r w:rsidRPr="0066750A">
              <w:rPr>
                <w:rFonts w:cstheme="minorHAnsi"/>
              </w:rPr>
              <w:t>This is a type of Balance Responsible Party.</w:t>
            </w:r>
          </w:p>
        </w:tc>
        <w:tc>
          <w:tcPr>
            <w:tcW w:w="4043" w:type="dxa"/>
          </w:tcPr>
          <w:p w14:paraId="05D08CB7" w14:textId="77777777" w:rsidR="002A41AC" w:rsidRPr="0066750A" w:rsidRDefault="002A41AC" w:rsidP="00964227">
            <w:pPr>
              <w:rPr>
                <w:rFonts w:cstheme="minorHAnsi"/>
                <w:b/>
                <w:bCs/>
              </w:rPr>
            </w:pPr>
            <w:r w:rsidRPr="0066750A">
              <w:rPr>
                <w:rFonts w:cstheme="minorHAnsi"/>
                <w:b/>
                <w:bCs/>
              </w:rPr>
              <w:t>20221017:</w:t>
            </w:r>
          </w:p>
          <w:p w14:paraId="2CB2F4EA" w14:textId="158DCC72"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Under discussion in the HG, hence we will await a review until finalised there.</w:t>
            </w:r>
          </w:p>
        </w:tc>
      </w:tr>
      <w:tr w:rsidR="002A41AC" w:rsidRPr="0066750A" w14:paraId="638EE0B6" w14:textId="77777777" w:rsidTr="00F600E4">
        <w:trPr>
          <w:cantSplit/>
          <w:tblCellSpacing w:w="15" w:type="dxa"/>
        </w:trPr>
        <w:tc>
          <w:tcPr>
            <w:tcW w:w="556" w:type="dxa"/>
            <w:vAlign w:val="center"/>
          </w:tcPr>
          <w:p w14:paraId="59505F83"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7B6D1C52" w14:textId="77777777" w:rsidR="002A41AC" w:rsidRPr="0066750A" w:rsidRDefault="002A41AC" w:rsidP="00964227">
            <w:pPr>
              <w:rPr>
                <w:rFonts w:cstheme="minorHAnsi"/>
              </w:rPr>
            </w:pPr>
            <w:r w:rsidRPr="0066750A">
              <w:rPr>
                <w:rFonts w:cstheme="minorHAnsi"/>
              </w:rPr>
              <w:t>Consent Administrator</w:t>
            </w:r>
          </w:p>
        </w:tc>
        <w:tc>
          <w:tcPr>
            <w:tcW w:w="3912" w:type="dxa"/>
          </w:tcPr>
          <w:p w14:paraId="23E48009" w14:textId="77777777" w:rsidR="002A41AC" w:rsidRPr="0066750A" w:rsidRDefault="002A41AC" w:rsidP="00964227">
            <w:pPr>
              <w:rPr>
                <w:rFonts w:cstheme="minorHAnsi"/>
              </w:rPr>
            </w:pPr>
            <w:r w:rsidRPr="0066750A">
              <w:rPr>
                <w:rFonts w:cstheme="minorHAnsi"/>
              </w:rPr>
              <w:t>A party responsible for administrating a register of consents for a domain. The Consent Administrator makes this information available on request for entitled parties in the sector.</w:t>
            </w:r>
          </w:p>
        </w:tc>
        <w:tc>
          <w:tcPr>
            <w:tcW w:w="4043" w:type="dxa"/>
          </w:tcPr>
          <w:p w14:paraId="101091B2" w14:textId="77777777" w:rsidR="002A41AC" w:rsidRPr="0066750A" w:rsidRDefault="002A41AC" w:rsidP="00964227">
            <w:pPr>
              <w:rPr>
                <w:rFonts w:cstheme="minorHAnsi"/>
              </w:rPr>
            </w:pPr>
            <w:r w:rsidRPr="0066750A">
              <w:rPr>
                <w:rFonts w:cstheme="minorHAnsi"/>
                <w:b/>
                <w:bCs/>
              </w:rPr>
              <w:t>20221017:</w:t>
            </w:r>
          </w:p>
          <w:p w14:paraId="66B20485"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Rephrase to:</w:t>
            </w:r>
          </w:p>
          <w:p w14:paraId="56645E9F" w14:textId="008B95ED" w:rsidR="00F600E4" w:rsidRPr="0066750A" w:rsidRDefault="00F600E4" w:rsidP="00964227">
            <w:pPr>
              <w:ind w:left="720"/>
              <w:rPr>
                <w:rFonts w:cstheme="minorHAnsi"/>
                <w:snapToGrid w:val="0"/>
              </w:rPr>
            </w:pPr>
            <w:r w:rsidRPr="0066750A">
              <w:rPr>
                <w:rFonts w:cstheme="minorHAnsi"/>
              </w:rPr>
              <w:t xml:space="preserve">A party responsible for </w:t>
            </w:r>
            <w:r w:rsidRPr="0066750A">
              <w:rPr>
                <w:rFonts w:cstheme="minorHAnsi"/>
                <w:snapToGrid w:val="0"/>
                <w:color w:val="FF0000"/>
              </w:rPr>
              <w:t xml:space="preserve">administration </w:t>
            </w:r>
            <w:r w:rsidRPr="0066750A">
              <w:rPr>
                <w:rFonts w:cstheme="minorHAnsi"/>
                <w:strike/>
              </w:rPr>
              <w:t xml:space="preserve">administrating a register </w:t>
            </w:r>
            <w:r w:rsidRPr="0066750A">
              <w:rPr>
                <w:rFonts w:cstheme="minorHAnsi"/>
              </w:rPr>
              <w:t>of consents</w:t>
            </w:r>
            <w:r w:rsidRPr="0066750A">
              <w:rPr>
                <w:rFonts w:cstheme="minorHAnsi"/>
                <w:strike/>
              </w:rPr>
              <w:t xml:space="preserve"> for a domain</w:t>
            </w:r>
            <w:r w:rsidRPr="0066750A">
              <w:rPr>
                <w:rFonts w:cstheme="minorHAnsi"/>
              </w:rPr>
              <w:t xml:space="preserve">. The Consent Administrator makes </w:t>
            </w:r>
            <w:r w:rsidRPr="0066750A">
              <w:rPr>
                <w:rFonts w:cstheme="minorHAnsi"/>
                <w:strike/>
              </w:rPr>
              <w:t>this</w:t>
            </w:r>
            <w:r w:rsidRPr="0066750A">
              <w:rPr>
                <w:rFonts w:cstheme="minorHAnsi"/>
              </w:rPr>
              <w:t xml:space="preserve"> </w:t>
            </w:r>
            <w:r w:rsidRPr="0066750A">
              <w:rPr>
                <w:rFonts w:cstheme="minorHAnsi"/>
                <w:color w:val="FF0000"/>
              </w:rPr>
              <w:t xml:space="preserve">the consent </w:t>
            </w:r>
            <w:r w:rsidRPr="0066750A">
              <w:rPr>
                <w:rFonts w:cstheme="minorHAnsi"/>
              </w:rPr>
              <w:t xml:space="preserve">information available on request </w:t>
            </w:r>
            <w:r w:rsidRPr="0066750A">
              <w:rPr>
                <w:rFonts w:cstheme="minorHAnsi"/>
                <w:strike/>
              </w:rPr>
              <w:t>for</w:t>
            </w:r>
            <w:r w:rsidRPr="0066750A">
              <w:rPr>
                <w:rFonts w:cstheme="minorHAnsi"/>
              </w:rPr>
              <w:t xml:space="preserve"> </w:t>
            </w:r>
            <w:r w:rsidRPr="0066750A">
              <w:rPr>
                <w:rFonts w:cstheme="minorHAnsi"/>
                <w:color w:val="FF0000"/>
              </w:rPr>
              <w:t xml:space="preserve">from </w:t>
            </w:r>
            <w:r w:rsidRPr="0066750A">
              <w:rPr>
                <w:rFonts w:cstheme="minorHAnsi"/>
              </w:rPr>
              <w:t>entitled parties in the sector.</w:t>
            </w:r>
          </w:p>
        </w:tc>
      </w:tr>
      <w:tr w:rsidR="002A41AC" w:rsidRPr="0066750A" w14:paraId="4A9D1B26" w14:textId="77777777" w:rsidTr="00F600E4">
        <w:trPr>
          <w:cantSplit/>
          <w:tblCellSpacing w:w="15" w:type="dxa"/>
        </w:trPr>
        <w:tc>
          <w:tcPr>
            <w:tcW w:w="556" w:type="dxa"/>
            <w:vAlign w:val="center"/>
          </w:tcPr>
          <w:p w14:paraId="7B4F95FB"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739C5A8" w14:textId="77777777" w:rsidR="002A41AC" w:rsidRPr="0066750A" w:rsidDel="00AE7482" w:rsidRDefault="002A41AC" w:rsidP="00964227">
            <w:pPr>
              <w:rPr>
                <w:rFonts w:cstheme="minorHAnsi"/>
              </w:rPr>
            </w:pPr>
            <w:r w:rsidRPr="0066750A">
              <w:rPr>
                <w:rFonts w:cstheme="minorHAnsi"/>
              </w:rPr>
              <w:t>Coordinated Capacity Calculator</w:t>
            </w:r>
          </w:p>
        </w:tc>
        <w:tc>
          <w:tcPr>
            <w:tcW w:w="3912" w:type="dxa"/>
            <w:vAlign w:val="center"/>
          </w:tcPr>
          <w:p w14:paraId="3E608118" w14:textId="77777777" w:rsidR="002A41AC" w:rsidRPr="0066750A" w:rsidRDefault="002A41AC" w:rsidP="00964227">
            <w:pPr>
              <w:rPr>
                <w:rFonts w:cstheme="minorHAnsi"/>
              </w:rPr>
            </w:pPr>
            <w:r w:rsidRPr="0066750A">
              <w:rPr>
                <w:rFonts w:cstheme="minorHAnsi"/>
              </w:rPr>
              <w:t>Coordinated Capacity Calculator is the entity or entities with the task of calculating transmission capacity, at regional level or above.</w:t>
            </w:r>
          </w:p>
          <w:p w14:paraId="17453F00" w14:textId="77777777" w:rsidR="002A41AC" w:rsidRPr="0066750A" w:rsidRDefault="002A41AC" w:rsidP="00964227">
            <w:pPr>
              <w:rPr>
                <w:rFonts w:cstheme="minorHAnsi"/>
              </w:rPr>
            </w:pPr>
            <w:r w:rsidRPr="0066750A">
              <w:rPr>
                <w:rFonts w:cstheme="minorHAnsi"/>
              </w:rPr>
              <w:t xml:space="preserve">Source: </w:t>
            </w:r>
            <w:hyperlink r:id="rId14" w:anchor="d1e321-24-1" w:history="1">
              <w:r w:rsidRPr="0066750A">
                <w:rPr>
                  <w:rStyle w:val="Hyperlink"/>
                  <w:rFonts w:cstheme="minorHAnsi"/>
                </w:rPr>
                <w:t>Commission Regulation (EU) 2015/1222 (CACM).</w:t>
              </w:r>
            </w:hyperlink>
          </w:p>
        </w:tc>
        <w:tc>
          <w:tcPr>
            <w:tcW w:w="4043" w:type="dxa"/>
          </w:tcPr>
          <w:p w14:paraId="568EAF33" w14:textId="77777777" w:rsidR="002A41AC" w:rsidRPr="0066750A" w:rsidRDefault="002A41AC" w:rsidP="00964227">
            <w:pPr>
              <w:rPr>
                <w:rFonts w:cstheme="minorHAnsi"/>
              </w:rPr>
            </w:pPr>
            <w:r w:rsidRPr="0066750A">
              <w:rPr>
                <w:rFonts w:cstheme="minorHAnsi"/>
                <w:b/>
                <w:bCs/>
              </w:rPr>
              <w:t>20221017:</w:t>
            </w:r>
          </w:p>
          <w:p w14:paraId="3AE42D51"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Rephrase to:</w:t>
            </w:r>
          </w:p>
          <w:p w14:paraId="5EAB4495" w14:textId="77777777" w:rsidR="002A41AC" w:rsidRPr="0066750A" w:rsidRDefault="002A41AC" w:rsidP="00964227">
            <w:pPr>
              <w:ind w:left="720"/>
              <w:rPr>
                <w:rFonts w:cstheme="minorHAnsi"/>
              </w:rPr>
            </w:pPr>
            <w:r w:rsidRPr="0066750A">
              <w:rPr>
                <w:rFonts w:cstheme="minorHAnsi"/>
                <w:strike/>
              </w:rPr>
              <w:t xml:space="preserve">Coordinated Capacity Calculator is the </w:t>
            </w:r>
            <w:r w:rsidRPr="0066750A">
              <w:rPr>
                <w:rFonts w:cstheme="minorHAnsi"/>
                <w:color w:val="C00000"/>
              </w:rPr>
              <w:t>A</w:t>
            </w:r>
            <w:r w:rsidRPr="0066750A">
              <w:rPr>
                <w:rFonts w:cstheme="minorHAnsi"/>
              </w:rPr>
              <w:t xml:space="preserve"> </w:t>
            </w:r>
            <w:r w:rsidRPr="0066750A">
              <w:rPr>
                <w:rFonts w:cstheme="minorHAnsi"/>
                <w:color w:val="C00000"/>
              </w:rPr>
              <w:t xml:space="preserve">party </w:t>
            </w:r>
            <w:r w:rsidRPr="0066750A">
              <w:rPr>
                <w:rFonts w:cstheme="minorHAnsi"/>
                <w:strike/>
              </w:rPr>
              <w:t>entity or entities</w:t>
            </w:r>
            <w:r w:rsidRPr="0066750A">
              <w:rPr>
                <w:rFonts w:cstheme="minorHAnsi"/>
              </w:rPr>
              <w:t xml:space="preserve"> with the task of calculating transmission capacity, at regional level or above.</w:t>
            </w:r>
          </w:p>
          <w:p w14:paraId="6B72DEE5" w14:textId="77777777" w:rsidR="002A41AC" w:rsidRPr="0066750A" w:rsidRDefault="002A41AC" w:rsidP="00964227">
            <w:pPr>
              <w:ind w:left="720"/>
              <w:rPr>
                <w:rStyle w:val="Hyperlink"/>
                <w:rFonts w:cstheme="minorHAnsi"/>
              </w:rPr>
            </w:pPr>
            <w:proofErr w:type="spellStart"/>
            <w:r w:rsidRPr="0066750A">
              <w:rPr>
                <w:rFonts w:cstheme="minorHAnsi"/>
                <w:strike/>
                <w:snapToGrid w:val="0"/>
              </w:rPr>
              <w:t>Source</w:t>
            </w:r>
            <w:r w:rsidR="0071795C" w:rsidRPr="0066750A">
              <w:rPr>
                <w:rFonts w:cstheme="minorHAnsi"/>
                <w:snapToGrid w:val="0"/>
                <w:color w:val="FF0000"/>
              </w:rPr>
              <w:t>Based</w:t>
            </w:r>
            <w:proofErr w:type="spellEnd"/>
            <w:r w:rsidR="0071795C" w:rsidRPr="0066750A">
              <w:rPr>
                <w:rFonts w:cstheme="minorHAnsi"/>
                <w:snapToGrid w:val="0"/>
                <w:color w:val="FF0000"/>
              </w:rPr>
              <w:t xml:space="preserve"> on</w:t>
            </w:r>
            <w:r w:rsidRPr="0066750A">
              <w:rPr>
                <w:rFonts w:cstheme="minorHAnsi"/>
              </w:rPr>
              <w:t xml:space="preserve">: </w:t>
            </w:r>
            <w:hyperlink r:id="rId15" w:anchor="d1e321-24-1" w:history="1">
              <w:r w:rsidRPr="0066750A">
                <w:rPr>
                  <w:rStyle w:val="Hyperlink"/>
                  <w:rFonts w:cstheme="minorHAnsi"/>
                </w:rPr>
                <w:t>Commission Regulation (EU) 2015/1222 (CACM).</w:t>
              </w:r>
            </w:hyperlink>
          </w:p>
          <w:p w14:paraId="30DDDE12"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And add a definition of transmission capacity in the introduction of the HEMRM.</w:t>
            </w:r>
          </w:p>
        </w:tc>
      </w:tr>
      <w:tr w:rsidR="002A41AC" w:rsidRPr="0066750A" w14:paraId="567E789B" w14:textId="77777777" w:rsidTr="00F600E4">
        <w:trPr>
          <w:cantSplit/>
          <w:tblCellSpacing w:w="15" w:type="dxa"/>
        </w:trPr>
        <w:tc>
          <w:tcPr>
            <w:tcW w:w="556" w:type="dxa"/>
            <w:vAlign w:val="center"/>
          </w:tcPr>
          <w:p w14:paraId="08276D01"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B8D7DED" w14:textId="77777777" w:rsidR="002A41AC" w:rsidRPr="0066750A" w:rsidRDefault="002A41AC" w:rsidP="00964227">
            <w:pPr>
              <w:rPr>
                <w:rFonts w:cstheme="minorHAnsi"/>
              </w:rPr>
            </w:pPr>
            <w:r w:rsidRPr="0066750A">
              <w:rPr>
                <w:rFonts w:cstheme="minorHAnsi"/>
              </w:rPr>
              <w:t>Coordination Centre Operator</w:t>
            </w:r>
          </w:p>
        </w:tc>
        <w:tc>
          <w:tcPr>
            <w:tcW w:w="3912" w:type="dxa"/>
            <w:vAlign w:val="center"/>
          </w:tcPr>
          <w:p w14:paraId="2E24E0A3" w14:textId="77777777" w:rsidR="002A41AC" w:rsidRPr="0066750A" w:rsidRDefault="002A41AC" w:rsidP="00964227">
            <w:pPr>
              <w:rPr>
                <w:rFonts w:cstheme="minorHAnsi"/>
              </w:rPr>
            </w:pPr>
            <w:r w:rsidRPr="0066750A">
              <w:rPr>
                <w:rFonts w:cstheme="minorHAnsi"/>
              </w:rPr>
              <w:t>A party responsible for the coordination of its Coordination Centre Zone in respect of scheduling, load frequency control, time deviation and compensation of unintentional deviation.</w:t>
            </w:r>
          </w:p>
        </w:tc>
        <w:tc>
          <w:tcPr>
            <w:tcW w:w="4043" w:type="dxa"/>
          </w:tcPr>
          <w:p w14:paraId="57CAAAA6" w14:textId="77777777" w:rsidR="002A41AC" w:rsidRPr="0066750A" w:rsidRDefault="002A41AC" w:rsidP="00964227">
            <w:pPr>
              <w:rPr>
                <w:rFonts w:cstheme="minorHAnsi"/>
              </w:rPr>
            </w:pPr>
            <w:r w:rsidRPr="0066750A">
              <w:rPr>
                <w:rFonts w:cstheme="minorHAnsi"/>
                <w:b/>
                <w:bCs/>
              </w:rPr>
              <w:t>20221017:</w:t>
            </w:r>
          </w:p>
          <w:p w14:paraId="15018F8E"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Outside of ebIX® scope.</w:t>
            </w:r>
          </w:p>
          <w:p w14:paraId="77ECE79D" w14:textId="77777777" w:rsidR="002A41AC" w:rsidRPr="0066750A" w:rsidRDefault="002A41AC" w:rsidP="00964227">
            <w:pPr>
              <w:rPr>
                <w:rFonts w:cstheme="minorHAnsi"/>
              </w:rPr>
            </w:pPr>
          </w:p>
        </w:tc>
      </w:tr>
      <w:tr w:rsidR="002A41AC" w:rsidRPr="0066750A" w14:paraId="7BFE19B5" w14:textId="77777777" w:rsidTr="00F600E4">
        <w:trPr>
          <w:cantSplit/>
          <w:tblCellSpacing w:w="15" w:type="dxa"/>
        </w:trPr>
        <w:tc>
          <w:tcPr>
            <w:tcW w:w="556" w:type="dxa"/>
            <w:vAlign w:val="center"/>
          </w:tcPr>
          <w:p w14:paraId="4CE5B4D7" w14:textId="77777777" w:rsidR="002A41AC" w:rsidRPr="0066750A" w:rsidRDefault="002A41AC" w:rsidP="00964227">
            <w:pPr>
              <w:rPr>
                <w:rFonts w:cstheme="minorHAnsi"/>
              </w:rPr>
            </w:pPr>
            <w:r w:rsidRPr="0066750A">
              <w:rPr>
                <w:rFonts w:cstheme="minorHAnsi"/>
              </w:rPr>
              <w:t>Role</w:t>
            </w:r>
          </w:p>
        </w:tc>
        <w:tc>
          <w:tcPr>
            <w:tcW w:w="1518" w:type="dxa"/>
            <w:vAlign w:val="center"/>
          </w:tcPr>
          <w:p w14:paraId="2357707A" w14:textId="77777777" w:rsidR="002A41AC" w:rsidRPr="0066750A" w:rsidRDefault="002A41AC" w:rsidP="00964227">
            <w:pPr>
              <w:rPr>
                <w:rFonts w:cstheme="minorHAnsi"/>
              </w:rPr>
            </w:pPr>
            <w:r w:rsidRPr="0066750A">
              <w:rPr>
                <w:rFonts w:cstheme="minorHAnsi"/>
              </w:rPr>
              <w:t>Data Provider</w:t>
            </w:r>
          </w:p>
        </w:tc>
        <w:tc>
          <w:tcPr>
            <w:tcW w:w="3912" w:type="dxa"/>
            <w:vAlign w:val="center"/>
          </w:tcPr>
          <w:p w14:paraId="6C82C006" w14:textId="77777777" w:rsidR="002A41AC" w:rsidRPr="0066750A" w:rsidRDefault="002A41AC" w:rsidP="00964227">
            <w:pPr>
              <w:rPr>
                <w:rFonts w:cstheme="minorHAnsi"/>
              </w:rPr>
            </w:pPr>
            <w:r w:rsidRPr="0066750A">
              <w:rPr>
                <w:rFonts w:cstheme="minorHAnsi"/>
              </w:rPr>
              <w:t>A party that has a mandate to provide information to other parties in the energy market.</w:t>
            </w:r>
          </w:p>
          <w:p w14:paraId="6F0D9FDC" w14:textId="77777777" w:rsidR="002A41AC" w:rsidRPr="0066750A" w:rsidRDefault="002A41AC" w:rsidP="00964227">
            <w:pPr>
              <w:rPr>
                <w:rFonts w:cstheme="minorHAnsi"/>
              </w:rPr>
            </w:pPr>
            <w:r w:rsidRPr="0066750A">
              <w:rPr>
                <w:rFonts w:cstheme="minorHAnsi"/>
              </w:rPr>
              <w:t>Note:</w:t>
            </w:r>
          </w:p>
          <w:p w14:paraId="78BABA86" w14:textId="77777777" w:rsidR="002A41AC" w:rsidRPr="0066750A" w:rsidRDefault="002A41AC" w:rsidP="00964227">
            <w:pPr>
              <w:rPr>
                <w:rFonts w:cstheme="minorHAnsi"/>
              </w:rPr>
            </w:pPr>
            <w:r w:rsidRPr="0066750A">
              <w:rPr>
                <w:rFonts w:cstheme="minorHAnsi"/>
              </w:rPr>
              <w:t xml:space="preserve">For example, due to </w:t>
            </w:r>
            <w:hyperlink r:id="rId16" w:history="1">
              <w:r w:rsidRPr="0066750A">
                <w:rPr>
                  <w:rStyle w:val="Hyperlink"/>
                  <w:rFonts w:cstheme="minorHAnsi"/>
                </w:rPr>
                <w:t>Article 2 of the European Commission Regulation 543/2013 of the 14th of June 2013</w:t>
              </w:r>
            </w:hyperlink>
            <w:r w:rsidRPr="0066750A">
              <w:rPr>
                <w:rFonts w:cstheme="minorHAnsi"/>
              </w:rPr>
              <w:t>, a data provider may be a Transmission System Operator or a third party agreed by a TSO.</w:t>
            </w:r>
          </w:p>
        </w:tc>
        <w:tc>
          <w:tcPr>
            <w:tcW w:w="4043" w:type="dxa"/>
          </w:tcPr>
          <w:p w14:paraId="2E928D68" w14:textId="77777777" w:rsidR="002A41AC" w:rsidRPr="0066750A" w:rsidRDefault="002A41AC" w:rsidP="00964227">
            <w:pPr>
              <w:rPr>
                <w:rFonts w:cstheme="minorHAnsi"/>
              </w:rPr>
            </w:pPr>
            <w:r w:rsidRPr="0066750A">
              <w:rPr>
                <w:rFonts w:cstheme="minorHAnsi"/>
                <w:b/>
                <w:bCs/>
              </w:rPr>
              <w:t>20221017:</w:t>
            </w:r>
          </w:p>
          <w:p w14:paraId="4747A9D2"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Mandated by whom?</w:t>
            </w:r>
          </w:p>
          <w:p w14:paraId="234AAB5E" w14:textId="77777777" w:rsidR="002A41AC" w:rsidRPr="0066750A" w:rsidRDefault="002A41AC" w:rsidP="002A41AC">
            <w:pPr>
              <w:pStyle w:val="ListParagraph"/>
              <w:numPr>
                <w:ilvl w:val="0"/>
                <w:numId w:val="17"/>
              </w:numPr>
              <w:autoSpaceDE/>
              <w:autoSpaceDN/>
              <w:ind w:left="380" w:hanging="218"/>
              <w:rPr>
                <w:rFonts w:asciiTheme="minorHAnsi" w:hAnsiTheme="minorHAnsi"/>
              </w:rPr>
            </w:pPr>
            <w:r w:rsidRPr="0066750A">
              <w:rPr>
                <w:rFonts w:asciiTheme="minorHAnsi" w:hAnsiTheme="minorHAnsi"/>
              </w:rPr>
              <w:t>Is it better to rephrase to:</w:t>
            </w:r>
          </w:p>
          <w:p w14:paraId="029CF2F8" w14:textId="77777777" w:rsidR="002A41AC" w:rsidRPr="0066750A" w:rsidRDefault="002A41AC" w:rsidP="00964227">
            <w:pPr>
              <w:ind w:left="720"/>
              <w:rPr>
                <w:rFonts w:cstheme="minorHAnsi"/>
              </w:rPr>
            </w:pPr>
            <w:r w:rsidRPr="0066750A">
              <w:rPr>
                <w:rFonts w:cstheme="minorHAnsi"/>
              </w:rPr>
              <w:t xml:space="preserve">A party that </w:t>
            </w:r>
            <w:r w:rsidRPr="0066750A">
              <w:rPr>
                <w:rFonts w:cstheme="minorHAnsi"/>
                <w:strike/>
              </w:rPr>
              <w:t>has a mandate to provide</w:t>
            </w:r>
            <w:r w:rsidRPr="0066750A">
              <w:rPr>
                <w:rFonts w:cstheme="minorHAnsi"/>
              </w:rPr>
              <w:t xml:space="preserve"> </w:t>
            </w:r>
            <w:r w:rsidRPr="0066750A">
              <w:rPr>
                <w:rFonts w:cstheme="minorHAnsi"/>
                <w:color w:val="C00000"/>
              </w:rPr>
              <w:t xml:space="preserve">provides a certain set of </w:t>
            </w:r>
            <w:r w:rsidRPr="0066750A">
              <w:rPr>
                <w:rFonts w:cstheme="minorHAnsi"/>
                <w:strike/>
              </w:rPr>
              <w:t>information</w:t>
            </w:r>
            <w:r w:rsidRPr="0066750A">
              <w:rPr>
                <w:rFonts w:cstheme="minorHAnsi"/>
              </w:rPr>
              <w:t xml:space="preserve"> </w:t>
            </w:r>
            <w:r w:rsidRPr="0066750A">
              <w:rPr>
                <w:rFonts w:cstheme="minorHAnsi"/>
                <w:color w:val="C00000"/>
              </w:rPr>
              <w:t xml:space="preserve">data </w:t>
            </w:r>
            <w:r w:rsidRPr="0066750A">
              <w:rPr>
                <w:rFonts w:cstheme="minorHAnsi"/>
              </w:rPr>
              <w:t>to other parties in the energy market.</w:t>
            </w:r>
          </w:p>
          <w:p w14:paraId="5A21C1F3" w14:textId="77777777" w:rsidR="002A41AC" w:rsidRPr="0066750A" w:rsidRDefault="002A41AC" w:rsidP="00964227">
            <w:pPr>
              <w:ind w:left="720"/>
              <w:rPr>
                <w:rFonts w:cstheme="minorHAnsi"/>
              </w:rPr>
            </w:pPr>
            <w:r w:rsidRPr="0066750A">
              <w:rPr>
                <w:rFonts w:cstheme="minorHAnsi"/>
              </w:rPr>
              <w:t>…..</w:t>
            </w:r>
          </w:p>
          <w:p w14:paraId="5C1A6769" w14:textId="77777777" w:rsidR="002A41AC" w:rsidRPr="0066750A" w:rsidRDefault="002A41AC" w:rsidP="00964227">
            <w:pPr>
              <w:rPr>
                <w:rFonts w:cstheme="minorHAnsi"/>
              </w:rPr>
            </w:pPr>
          </w:p>
        </w:tc>
      </w:tr>
      <w:tr w:rsidR="002A41AC" w:rsidRPr="0066750A" w14:paraId="32093E79" w14:textId="77777777" w:rsidTr="00F600E4">
        <w:trPr>
          <w:cantSplit/>
          <w:tblCellSpacing w:w="15" w:type="dxa"/>
        </w:trPr>
        <w:tc>
          <w:tcPr>
            <w:tcW w:w="556" w:type="dxa"/>
            <w:vAlign w:val="center"/>
          </w:tcPr>
          <w:p w14:paraId="5E2D2A8A"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05C5DEA8" w14:textId="77777777" w:rsidR="002A41AC" w:rsidRPr="0066750A" w:rsidRDefault="002A41AC" w:rsidP="00964227">
            <w:pPr>
              <w:rPr>
                <w:rFonts w:cstheme="minorHAnsi"/>
              </w:rPr>
            </w:pPr>
            <w:r w:rsidRPr="0066750A">
              <w:rPr>
                <w:rFonts w:cstheme="minorHAnsi"/>
              </w:rPr>
              <w:t xml:space="preserve">Energy Service Company </w:t>
            </w:r>
          </w:p>
        </w:tc>
        <w:tc>
          <w:tcPr>
            <w:tcW w:w="3912" w:type="dxa"/>
            <w:vAlign w:val="center"/>
          </w:tcPr>
          <w:p w14:paraId="12FB8370" w14:textId="77777777" w:rsidR="002A41AC" w:rsidRPr="0066750A" w:rsidRDefault="002A41AC" w:rsidP="00964227">
            <w:pPr>
              <w:rPr>
                <w:rFonts w:cstheme="minorHAnsi"/>
              </w:rPr>
            </w:pPr>
            <w:r w:rsidRPr="0066750A">
              <w:rPr>
                <w:rFonts w:cstheme="minorHAnsi"/>
              </w:rPr>
              <w:t xml:space="preserve">A party offering energy-related services to the Party Connected to Grid, but not directly active in the energy value chain or the physical infrastructure itself. </w:t>
            </w:r>
          </w:p>
          <w:p w14:paraId="55EE2033" w14:textId="77777777" w:rsidR="002A41AC" w:rsidRPr="0066750A" w:rsidRDefault="002A41AC" w:rsidP="00964227">
            <w:pPr>
              <w:rPr>
                <w:rFonts w:cstheme="minorHAnsi"/>
                <w:b/>
                <w:bCs/>
              </w:rPr>
            </w:pPr>
            <w:r w:rsidRPr="0066750A">
              <w:rPr>
                <w:rFonts w:cstheme="minorHAnsi"/>
                <w:b/>
                <w:bCs/>
              </w:rPr>
              <w:t>Additional info:</w:t>
            </w:r>
          </w:p>
          <w:p w14:paraId="2B562D6E" w14:textId="77777777" w:rsidR="002A41AC" w:rsidRPr="0066750A" w:rsidRDefault="002A41AC" w:rsidP="00964227">
            <w:pPr>
              <w:rPr>
                <w:rFonts w:cstheme="minorHAnsi"/>
              </w:rPr>
            </w:pPr>
            <w:r w:rsidRPr="0066750A">
              <w:rPr>
                <w:rFonts w:cstheme="minorHAnsi"/>
              </w:rPr>
              <w:t>The Energy Service Company (ESCO) may for example provide insight services as well as energy management services.</w:t>
            </w:r>
          </w:p>
        </w:tc>
        <w:tc>
          <w:tcPr>
            <w:tcW w:w="4043" w:type="dxa"/>
          </w:tcPr>
          <w:p w14:paraId="241993D4" w14:textId="77777777" w:rsidR="002A41AC" w:rsidRPr="0066750A" w:rsidRDefault="002A41AC" w:rsidP="00964227">
            <w:pPr>
              <w:spacing w:after="0"/>
              <w:rPr>
                <w:rFonts w:cstheme="minorHAnsi"/>
                <w:b/>
                <w:bCs/>
                <w:i/>
                <w:iCs/>
              </w:rPr>
            </w:pPr>
            <w:r w:rsidRPr="0066750A">
              <w:rPr>
                <w:rFonts w:cstheme="minorHAnsi"/>
                <w:b/>
                <w:bCs/>
                <w:i/>
                <w:iCs/>
              </w:rPr>
              <w:t>20221024:</w:t>
            </w:r>
          </w:p>
          <w:p w14:paraId="0448EEB5" w14:textId="77777777" w:rsidR="002A41AC" w:rsidRPr="0066750A" w:rsidRDefault="002A41AC" w:rsidP="002A41AC">
            <w:pPr>
              <w:pStyle w:val="ListParagraph"/>
              <w:numPr>
                <w:ilvl w:val="0"/>
                <w:numId w:val="24"/>
              </w:numPr>
              <w:spacing w:after="0"/>
              <w:ind w:left="387" w:hanging="142"/>
              <w:rPr>
                <w:rFonts w:asciiTheme="minorHAnsi" w:hAnsiTheme="minorHAnsi"/>
              </w:rPr>
            </w:pPr>
            <w:r w:rsidRPr="0066750A">
              <w:rPr>
                <w:rFonts w:asciiTheme="minorHAnsi" w:hAnsiTheme="minorHAnsi"/>
              </w:rPr>
              <w:t>Rephrase to:</w:t>
            </w:r>
          </w:p>
          <w:p w14:paraId="7CFA3C30" w14:textId="77777777" w:rsidR="002A41AC" w:rsidRPr="0066750A" w:rsidRDefault="002A41AC" w:rsidP="00964227">
            <w:pPr>
              <w:ind w:left="670"/>
              <w:rPr>
                <w:rFonts w:cstheme="minorHAnsi"/>
              </w:rPr>
            </w:pPr>
            <w:r w:rsidRPr="0066750A">
              <w:rPr>
                <w:rFonts w:cstheme="minorHAnsi"/>
              </w:rPr>
              <w:t>A party offering energy-related services</w:t>
            </w:r>
            <w:r w:rsidRPr="0066750A">
              <w:rPr>
                <w:rFonts w:cstheme="minorHAnsi"/>
                <w:color w:val="C00000"/>
              </w:rPr>
              <w:t>, not part of the regulated services,</w:t>
            </w:r>
            <w:r w:rsidRPr="0066750A">
              <w:rPr>
                <w:rFonts w:cstheme="minorHAnsi"/>
              </w:rPr>
              <w:t xml:space="preserve"> to the Party Connected to Grid</w:t>
            </w:r>
            <w:r w:rsidRPr="0066750A">
              <w:rPr>
                <w:rFonts w:cstheme="minorHAnsi"/>
                <w:strike/>
              </w:rPr>
              <w:t>, but not directly active in the value chain or the physical infrastructure itself.</w:t>
            </w:r>
            <w:r w:rsidRPr="0066750A">
              <w:rPr>
                <w:rFonts w:cstheme="minorHAnsi"/>
              </w:rPr>
              <w:t xml:space="preserve"> </w:t>
            </w:r>
          </w:p>
          <w:p w14:paraId="26E4049C" w14:textId="77777777" w:rsidR="002A41AC" w:rsidRPr="0066750A" w:rsidRDefault="002A41AC" w:rsidP="00964227">
            <w:pPr>
              <w:ind w:left="670"/>
              <w:rPr>
                <w:rFonts w:cstheme="minorHAnsi"/>
                <w:b/>
                <w:bCs/>
                <w:strike/>
              </w:rPr>
            </w:pPr>
            <w:r w:rsidRPr="0066750A">
              <w:rPr>
                <w:rFonts w:cstheme="minorHAnsi"/>
                <w:b/>
                <w:bCs/>
                <w:strike/>
              </w:rPr>
              <w:t>Additional info</w:t>
            </w:r>
            <w:r w:rsidRPr="0066750A">
              <w:rPr>
                <w:rStyle w:val="FootnoteReference"/>
                <w:rFonts w:cstheme="minorHAnsi"/>
                <w:b/>
                <w:bCs/>
                <w:strike/>
              </w:rPr>
              <w:footnoteReference w:id="1"/>
            </w:r>
            <w:r w:rsidRPr="0066750A">
              <w:rPr>
                <w:rFonts w:cstheme="minorHAnsi"/>
                <w:b/>
                <w:bCs/>
                <w:strike/>
              </w:rPr>
              <w:t>:</w:t>
            </w:r>
          </w:p>
          <w:p w14:paraId="1491A23A" w14:textId="77777777" w:rsidR="002A41AC" w:rsidRPr="0066750A" w:rsidRDefault="002A41AC" w:rsidP="00964227">
            <w:pPr>
              <w:ind w:left="670"/>
              <w:rPr>
                <w:rFonts w:cstheme="minorHAnsi"/>
                <w:strike/>
              </w:rPr>
            </w:pPr>
            <w:r w:rsidRPr="0066750A">
              <w:rPr>
                <w:rFonts w:cstheme="minorHAnsi"/>
                <w:strike/>
              </w:rPr>
              <w:t>The Energy Service Company (ESCO) may for example provide insight services as well as energy management services.</w:t>
            </w:r>
          </w:p>
        </w:tc>
      </w:tr>
      <w:tr w:rsidR="002A41AC" w:rsidRPr="0066750A" w14:paraId="06BF2BD4" w14:textId="77777777" w:rsidTr="00F600E4">
        <w:trPr>
          <w:cantSplit/>
          <w:tblCellSpacing w:w="15" w:type="dxa"/>
        </w:trPr>
        <w:tc>
          <w:tcPr>
            <w:tcW w:w="556" w:type="dxa"/>
            <w:vAlign w:val="center"/>
          </w:tcPr>
          <w:p w14:paraId="27AE72AA"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A719AE7" w14:textId="77777777" w:rsidR="002A41AC" w:rsidRPr="0066750A" w:rsidRDefault="002A41AC" w:rsidP="00964227">
            <w:pPr>
              <w:rPr>
                <w:rFonts w:cstheme="minorHAnsi"/>
              </w:rPr>
            </w:pPr>
            <w:r w:rsidRPr="0066750A">
              <w:rPr>
                <w:rFonts w:cstheme="minorHAnsi"/>
              </w:rPr>
              <w:t>Energy Supplier</w:t>
            </w:r>
          </w:p>
        </w:tc>
        <w:tc>
          <w:tcPr>
            <w:tcW w:w="3912" w:type="dxa"/>
            <w:vAlign w:val="center"/>
          </w:tcPr>
          <w:p w14:paraId="23508422" w14:textId="021ABE60" w:rsidR="002A41AC" w:rsidRPr="0066750A" w:rsidRDefault="009B5D0E" w:rsidP="009B5D0E">
            <w:pPr>
              <w:rPr>
                <w:rFonts w:cstheme="minorHAnsi"/>
                <w:b/>
                <w:bCs/>
                <w:i/>
                <w:iCs/>
              </w:rPr>
            </w:pPr>
            <w:r>
              <w:rPr>
                <w:rFonts w:cstheme="minorHAnsi"/>
                <w:b/>
                <w:bCs/>
                <w:i/>
                <w:iCs/>
              </w:rPr>
              <w:t xml:space="preserve">Proposed </w:t>
            </w:r>
            <w:r w:rsidR="002A41AC" w:rsidRPr="0066750A">
              <w:rPr>
                <w:rFonts w:cstheme="minorHAnsi"/>
                <w:b/>
                <w:bCs/>
                <w:i/>
                <w:iCs/>
              </w:rPr>
              <w:t xml:space="preserve">definition in HEMRM </w:t>
            </w:r>
            <w:r>
              <w:rPr>
                <w:rFonts w:cstheme="minorHAnsi"/>
                <w:b/>
                <w:bCs/>
                <w:i/>
                <w:iCs/>
              </w:rPr>
              <w:t>2023-01, from HG meeting April 2023</w:t>
            </w:r>
            <w:r w:rsidR="002A41AC" w:rsidRPr="0066750A">
              <w:rPr>
                <w:rFonts w:cstheme="minorHAnsi"/>
                <w:b/>
                <w:bCs/>
                <w:i/>
                <w:iCs/>
              </w:rPr>
              <w:t>:</w:t>
            </w:r>
          </w:p>
          <w:p w14:paraId="22DBDEF4" w14:textId="77777777" w:rsidR="009B5D0E" w:rsidRPr="00FE1C80" w:rsidRDefault="009B5D0E" w:rsidP="009B5D0E">
            <w:pPr>
              <w:pStyle w:val="NormalWeb"/>
              <w:spacing w:before="0" w:beforeAutospacing="0" w:after="120" w:afterAutospacing="0"/>
              <w:ind w:left="108"/>
              <w:rPr>
                <w:sz w:val="22"/>
                <w:szCs w:val="22"/>
              </w:rPr>
            </w:pPr>
            <w:r w:rsidRPr="00FE1C80">
              <w:rPr>
                <w:sz w:val="22"/>
                <w:szCs w:val="22"/>
              </w:rPr>
              <w:t>An Energy Supplier delivers energy to or takes energy from a Party Connected to the Grid at an Accounting Point.</w:t>
            </w:r>
          </w:p>
          <w:p w14:paraId="6805095C" w14:textId="77777777" w:rsidR="009B5D0E" w:rsidRPr="00240EA9" w:rsidRDefault="009B5D0E" w:rsidP="009B5D0E">
            <w:pPr>
              <w:spacing w:after="0"/>
              <w:ind w:left="108" w:right="142"/>
              <w:rPr>
                <w:b/>
                <w:bCs/>
                <w:lang w:eastAsia="sv-SE"/>
              </w:rPr>
            </w:pPr>
            <w:r w:rsidRPr="00240EA9">
              <w:rPr>
                <w:rFonts w:cstheme="minorHAnsi"/>
                <w:b/>
                <w:lang w:eastAsia="sv-SE"/>
              </w:rPr>
              <w:t>Additional</w:t>
            </w:r>
            <w:r w:rsidRPr="00240EA9">
              <w:rPr>
                <w:b/>
                <w:bCs/>
                <w:lang w:eastAsia="sv-SE"/>
              </w:rPr>
              <w:t xml:space="preserve"> information:</w:t>
            </w:r>
          </w:p>
          <w:p w14:paraId="2444FCA5" w14:textId="77777777" w:rsidR="009B5D0E" w:rsidRPr="00FE1C80" w:rsidRDefault="009B5D0E" w:rsidP="009B5D0E">
            <w:pPr>
              <w:pStyle w:val="NormalWeb"/>
              <w:spacing w:before="0" w:beforeAutospacing="0" w:after="120" w:afterAutospacing="0"/>
              <w:ind w:left="108"/>
              <w:rPr>
                <w:sz w:val="22"/>
                <w:szCs w:val="22"/>
              </w:rPr>
            </w:pPr>
            <w:r w:rsidRPr="00FE1C80">
              <w:rPr>
                <w:sz w:val="22"/>
                <w:szCs w:val="22"/>
              </w:rPr>
              <w:t>An Accounting Point can have only one Energy Supplier.</w:t>
            </w:r>
          </w:p>
          <w:p w14:paraId="0CCC3392" w14:textId="5BF31EB3" w:rsidR="002A41AC" w:rsidRPr="0066750A" w:rsidRDefault="009B5D0E" w:rsidP="009B5D0E">
            <w:pPr>
              <w:pStyle w:val="NormalWeb"/>
              <w:spacing w:before="0" w:beforeAutospacing="0" w:after="120" w:afterAutospacing="0"/>
              <w:ind w:left="108"/>
              <w:rPr>
                <w:rFonts w:cstheme="minorHAnsi"/>
              </w:rPr>
            </w:pPr>
            <w:r w:rsidRPr="00FE1C80">
              <w:rPr>
                <w:sz w:val="22"/>
                <w:szCs w:val="22"/>
              </w:rPr>
              <w:t>When additional suppliers (with firm (block) energy contracts) are involved, the Energy Supplier delivers/takes the difference between contracted and established (e.g. measured or calculated) production/consumption</w:t>
            </w:r>
            <w:r>
              <w:rPr>
                <w:sz w:val="22"/>
                <w:szCs w:val="22"/>
              </w:rPr>
              <w:t>.</w:t>
            </w:r>
          </w:p>
        </w:tc>
        <w:tc>
          <w:tcPr>
            <w:tcW w:w="4043" w:type="dxa"/>
          </w:tcPr>
          <w:p w14:paraId="10E33212" w14:textId="1A4A9DD3" w:rsidR="002A41AC" w:rsidRPr="0066750A" w:rsidRDefault="002A41AC" w:rsidP="00964227">
            <w:pPr>
              <w:rPr>
                <w:rFonts w:cstheme="minorHAnsi"/>
                <w:b/>
                <w:bCs/>
              </w:rPr>
            </w:pPr>
            <w:r w:rsidRPr="0066750A">
              <w:rPr>
                <w:rFonts w:cstheme="minorHAnsi"/>
                <w:b/>
                <w:bCs/>
              </w:rPr>
              <w:t>202</w:t>
            </w:r>
            <w:r w:rsidR="009B5D0E">
              <w:rPr>
                <w:rFonts w:cstheme="minorHAnsi"/>
                <w:b/>
                <w:bCs/>
              </w:rPr>
              <w:t>30425</w:t>
            </w:r>
            <w:r w:rsidRPr="0066750A">
              <w:rPr>
                <w:rFonts w:cstheme="minorHAnsi"/>
                <w:b/>
                <w:bCs/>
              </w:rPr>
              <w:t>:</w:t>
            </w:r>
          </w:p>
          <w:p w14:paraId="53F59C42" w14:textId="77777777" w:rsidR="009B5D0E" w:rsidRDefault="009B5D0E" w:rsidP="009B5D0E">
            <w:pPr>
              <w:spacing w:after="0"/>
            </w:pPr>
            <w:r>
              <w:rPr>
                <w:i/>
                <w:iCs/>
              </w:rPr>
              <w:t>Rephrase to:</w:t>
            </w:r>
          </w:p>
          <w:p w14:paraId="783CD19D" w14:textId="0D90CC75" w:rsidR="009B5D0E" w:rsidRPr="00FE1C80" w:rsidRDefault="009B5D0E" w:rsidP="009B5D0E">
            <w:pPr>
              <w:pStyle w:val="NormalWeb"/>
              <w:spacing w:before="0" w:beforeAutospacing="0" w:after="120" w:afterAutospacing="0"/>
              <w:ind w:left="108"/>
              <w:rPr>
                <w:sz w:val="22"/>
                <w:szCs w:val="22"/>
              </w:rPr>
            </w:pPr>
            <w:r w:rsidRPr="00FE1C80">
              <w:rPr>
                <w:sz w:val="22"/>
                <w:szCs w:val="22"/>
              </w:rPr>
              <w:t>A</w:t>
            </w:r>
            <w:r w:rsidRPr="009B5D0E">
              <w:rPr>
                <w:strike/>
                <w:sz w:val="22"/>
                <w:szCs w:val="22"/>
              </w:rPr>
              <w:t>n Energy Supplier</w:t>
            </w:r>
            <w:r>
              <w:rPr>
                <w:sz w:val="22"/>
                <w:szCs w:val="22"/>
              </w:rPr>
              <w:t xml:space="preserve"> </w:t>
            </w:r>
            <w:r>
              <w:rPr>
                <w:color w:val="C00000"/>
                <w:sz w:val="22"/>
                <w:szCs w:val="22"/>
              </w:rPr>
              <w:t xml:space="preserve">party that </w:t>
            </w:r>
            <w:r w:rsidRPr="009B5D0E">
              <w:rPr>
                <w:sz w:val="22"/>
                <w:szCs w:val="22"/>
              </w:rPr>
              <w:t>delivers</w:t>
            </w:r>
            <w:r w:rsidRPr="00FE1C80">
              <w:rPr>
                <w:sz w:val="22"/>
                <w:szCs w:val="22"/>
              </w:rPr>
              <w:t xml:space="preserve"> energy to or takes energy from a Party Connected to the Grid at an Accounting Point.</w:t>
            </w:r>
          </w:p>
          <w:p w14:paraId="50427F2D" w14:textId="77777777" w:rsidR="009B5D0E" w:rsidRPr="00240EA9" w:rsidRDefault="009B5D0E" w:rsidP="009B5D0E">
            <w:pPr>
              <w:spacing w:after="0"/>
              <w:ind w:left="108" w:right="142"/>
              <w:rPr>
                <w:b/>
                <w:bCs/>
                <w:lang w:eastAsia="sv-SE"/>
              </w:rPr>
            </w:pPr>
            <w:r w:rsidRPr="00240EA9">
              <w:rPr>
                <w:rFonts w:cstheme="minorHAnsi"/>
                <w:b/>
                <w:lang w:eastAsia="sv-SE"/>
              </w:rPr>
              <w:t>Additional</w:t>
            </w:r>
            <w:r w:rsidRPr="00240EA9">
              <w:rPr>
                <w:b/>
                <w:bCs/>
                <w:lang w:eastAsia="sv-SE"/>
              </w:rPr>
              <w:t xml:space="preserve"> information:</w:t>
            </w:r>
          </w:p>
          <w:p w14:paraId="2215C707" w14:textId="77777777" w:rsidR="009B5D0E" w:rsidRDefault="009B5D0E" w:rsidP="009B5D0E">
            <w:pPr>
              <w:pStyle w:val="NormalWeb"/>
              <w:spacing w:before="0" w:beforeAutospacing="0" w:after="120" w:afterAutospacing="0"/>
              <w:ind w:left="108"/>
              <w:rPr>
                <w:sz w:val="22"/>
                <w:szCs w:val="22"/>
              </w:rPr>
            </w:pPr>
            <w:r w:rsidRPr="00FE1C80">
              <w:rPr>
                <w:sz w:val="22"/>
                <w:szCs w:val="22"/>
              </w:rPr>
              <w:t>An Accounting Point can have only one Energy Supplier.</w:t>
            </w:r>
          </w:p>
          <w:p w14:paraId="575D5F09" w14:textId="5936AEF9" w:rsidR="009B5D0E" w:rsidRPr="009B5D0E" w:rsidRDefault="009B5D0E" w:rsidP="009B5D0E">
            <w:pPr>
              <w:pStyle w:val="NormalWeb"/>
              <w:spacing w:before="0" w:beforeAutospacing="0" w:after="120" w:afterAutospacing="0"/>
              <w:ind w:left="108"/>
              <w:rPr>
                <w:color w:val="C00000"/>
                <w:sz w:val="22"/>
                <w:szCs w:val="22"/>
              </w:rPr>
            </w:pPr>
            <w:r>
              <w:rPr>
                <w:color w:val="C00000"/>
                <w:sz w:val="22"/>
                <w:szCs w:val="22"/>
              </w:rPr>
              <w:t xml:space="preserve">If multiple Energy Suppliers are needed, also multiple Accounting Points are needed. </w:t>
            </w:r>
          </w:p>
          <w:p w14:paraId="11EE8709" w14:textId="0D2F4F7D" w:rsidR="002A41AC" w:rsidRPr="009B5D0E" w:rsidRDefault="009B5D0E" w:rsidP="009B5D0E">
            <w:pPr>
              <w:pStyle w:val="NormalWeb"/>
              <w:spacing w:before="0" w:beforeAutospacing="0" w:after="120" w:afterAutospacing="0"/>
              <w:ind w:left="108"/>
            </w:pPr>
            <w:r w:rsidRPr="009B5D0E">
              <w:rPr>
                <w:strike/>
                <w:sz w:val="22"/>
                <w:szCs w:val="22"/>
              </w:rPr>
              <w:t>When additional suppliers (with</w:t>
            </w:r>
            <w:r w:rsidRPr="00FE1C80">
              <w:rPr>
                <w:sz w:val="22"/>
                <w:szCs w:val="22"/>
              </w:rPr>
              <w:t xml:space="preserve"> </w:t>
            </w:r>
            <w:proofErr w:type="gramStart"/>
            <w:r>
              <w:rPr>
                <w:color w:val="C00000"/>
                <w:sz w:val="22"/>
                <w:szCs w:val="22"/>
              </w:rPr>
              <w:t>In</w:t>
            </w:r>
            <w:proofErr w:type="gramEnd"/>
            <w:r>
              <w:rPr>
                <w:color w:val="C00000"/>
                <w:sz w:val="22"/>
                <w:szCs w:val="22"/>
              </w:rPr>
              <w:t xml:space="preserve"> rare cases where </w:t>
            </w:r>
            <w:r w:rsidRPr="00FE1C80">
              <w:rPr>
                <w:sz w:val="22"/>
                <w:szCs w:val="22"/>
              </w:rPr>
              <w:t>firm (block) energy contracts</w:t>
            </w:r>
            <w:r w:rsidRPr="009B5D0E">
              <w:rPr>
                <w:strike/>
                <w:sz w:val="22"/>
                <w:szCs w:val="22"/>
              </w:rPr>
              <w:t>)</w:t>
            </w:r>
            <w:r w:rsidRPr="00FE1C80">
              <w:rPr>
                <w:sz w:val="22"/>
                <w:szCs w:val="22"/>
              </w:rPr>
              <w:t xml:space="preserve"> are involved, the Energy Supplier delivers/takes the difference between contracted and established (e.g. measured or calculated) production/consumption</w:t>
            </w:r>
            <w:r>
              <w:rPr>
                <w:sz w:val="22"/>
                <w:szCs w:val="22"/>
              </w:rPr>
              <w:t>.</w:t>
            </w:r>
          </w:p>
        </w:tc>
      </w:tr>
      <w:tr w:rsidR="002A41AC" w:rsidRPr="0066750A" w14:paraId="144FB059" w14:textId="77777777" w:rsidTr="00F600E4">
        <w:trPr>
          <w:cantSplit/>
          <w:tblCellSpacing w:w="15" w:type="dxa"/>
        </w:trPr>
        <w:tc>
          <w:tcPr>
            <w:tcW w:w="556" w:type="dxa"/>
            <w:vAlign w:val="center"/>
          </w:tcPr>
          <w:p w14:paraId="6F012966"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1A9E0F8A" w14:textId="77777777" w:rsidR="002A41AC" w:rsidRPr="0066750A" w:rsidRDefault="002A41AC" w:rsidP="00964227">
            <w:pPr>
              <w:rPr>
                <w:rFonts w:cstheme="minorHAnsi"/>
              </w:rPr>
            </w:pPr>
            <w:r w:rsidRPr="0066750A">
              <w:rPr>
                <w:rFonts w:cstheme="minorHAnsi"/>
              </w:rPr>
              <w:t>Energy Trader</w:t>
            </w:r>
          </w:p>
        </w:tc>
        <w:tc>
          <w:tcPr>
            <w:tcW w:w="3912" w:type="dxa"/>
            <w:vAlign w:val="center"/>
          </w:tcPr>
          <w:p w14:paraId="3CC6E0BF" w14:textId="77777777" w:rsidR="002A41AC" w:rsidRPr="0066750A" w:rsidRDefault="002A41AC" w:rsidP="00964227">
            <w:pPr>
              <w:rPr>
                <w:rFonts w:cstheme="minorHAnsi"/>
              </w:rPr>
            </w:pPr>
            <w:r w:rsidRPr="0066750A">
              <w:rPr>
                <w:rFonts w:cstheme="minorHAnsi"/>
              </w:rPr>
              <w:t>A party that is selling or buying energy.</w:t>
            </w:r>
          </w:p>
        </w:tc>
        <w:tc>
          <w:tcPr>
            <w:tcW w:w="4043" w:type="dxa"/>
          </w:tcPr>
          <w:p w14:paraId="34A8E165" w14:textId="77777777" w:rsidR="002A41AC" w:rsidRPr="0066750A" w:rsidRDefault="002A41AC" w:rsidP="00964227">
            <w:pPr>
              <w:rPr>
                <w:rFonts w:cstheme="minorHAnsi"/>
                <w:b/>
                <w:bCs/>
              </w:rPr>
            </w:pPr>
            <w:r w:rsidRPr="0066750A">
              <w:rPr>
                <w:rFonts w:cstheme="minorHAnsi"/>
                <w:b/>
                <w:bCs/>
              </w:rPr>
              <w:t>20221031:</w:t>
            </w:r>
          </w:p>
          <w:p w14:paraId="4DDBA9A5" w14:textId="77777777" w:rsidR="002A41AC" w:rsidRPr="0066750A" w:rsidRDefault="002A41AC" w:rsidP="00964227">
            <w:pPr>
              <w:rPr>
                <w:rFonts w:cstheme="minorHAnsi"/>
              </w:rPr>
            </w:pPr>
            <w:r w:rsidRPr="0066750A">
              <w:rPr>
                <w:rFonts w:cstheme="minorHAnsi"/>
              </w:rPr>
              <w:t xml:space="preserve">This makes all Customers also Energy Traders. Maybe link it to wholesale? </w:t>
            </w:r>
          </w:p>
          <w:p w14:paraId="7F08037E"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717AEFD5" w14:textId="77777777" w:rsidR="002A41AC" w:rsidRPr="0066750A" w:rsidRDefault="002A41AC" w:rsidP="00BB3D20">
            <w:pPr>
              <w:ind w:left="522"/>
              <w:rPr>
                <w:rFonts w:cstheme="minorHAnsi"/>
              </w:rPr>
            </w:pPr>
            <w:r w:rsidRPr="0066750A">
              <w:rPr>
                <w:rFonts w:cstheme="minorHAnsi"/>
                <w:lang w:eastAsia="en-GB"/>
              </w:rPr>
              <w:t>A party</w:t>
            </w:r>
            <w:r w:rsidRPr="0066750A">
              <w:rPr>
                <w:rFonts w:cstheme="minorHAnsi"/>
              </w:rPr>
              <w:t xml:space="preserve"> </w:t>
            </w:r>
            <w:r w:rsidRPr="0066750A">
              <w:rPr>
                <w:rFonts w:cstheme="minorHAnsi"/>
                <w:strike/>
              </w:rPr>
              <w:t>that is</w:t>
            </w:r>
            <w:r w:rsidRPr="0066750A">
              <w:rPr>
                <w:rFonts w:cstheme="minorHAnsi"/>
              </w:rPr>
              <w:t xml:space="preserve"> selling or buying energy </w:t>
            </w:r>
            <w:r w:rsidRPr="0066750A">
              <w:rPr>
                <w:rFonts w:cstheme="minorHAnsi"/>
                <w:color w:val="C00000"/>
              </w:rPr>
              <w:t>in the wholesale energy market, i.e. selling or buying in large quantities with the intent to be sold again to make a profit</w:t>
            </w:r>
            <w:r w:rsidRPr="0066750A">
              <w:rPr>
                <w:rFonts w:cstheme="minorHAnsi"/>
              </w:rPr>
              <w:t>.</w:t>
            </w:r>
          </w:p>
        </w:tc>
      </w:tr>
      <w:tr w:rsidR="002A41AC" w:rsidRPr="0066750A" w14:paraId="3DE54F1A" w14:textId="77777777" w:rsidTr="00F600E4">
        <w:trPr>
          <w:cantSplit/>
          <w:tblCellSpacing w:w="15" w:type="dxa"/>
        </w:trPr>
        <w:tc>
          <w:tcPr>
            <w:tcW w:w="556" w:type="dxa"/>
            <w:vAlign w:val="center"/>
            <w:hideMark/>
          </w:tcPr>
          <w:p w14:paraId="502D0472"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A107981" w14:textId="77777777" w:rsidR="002A41AC" w:rsidRPr="0066750A" w:rsidRDefault="002A41AC" w:rsidP="00964227">
            <w:pPr>
              <w:rPr>
                <w:rFonts w:cstheme="minorHAnsi"/>
              </w:rPr>
            </w:pPr>
            <w:r w:rsidRPr="0066750A">
              <w:rPr>
                <w:rFonts w:cstheme="minorHAnsi"/>
              </w:rPr>
              <w:t>Grid Access Provider</w:t>
            </w:r>
          </w:p>
        </w:tc>
        <w:tc>
          <w:tcPr>
            <w:tcW w:w="3912" w:type="dxa"/>
            <w:vAlign w:val="center"/>
          </w:tcPr>
          <w:p w14:paraId="2D9D4731" w14:textId="77777777" w:rsidR="0073724E" w:rsidRDefault="0073724E" w:rsidP="0073724E">
            <w:pPr>
              <w:ind w:right="142"/>
              <w:rPr>
                <w:rFonts w:cstheme="minorHAnsi"/>
                <w:b/>
                <w:bCs/>
                <w:i/>
                <w:iCs/>
              </w:rPr>
            </w:pPr>
            <w:r>
              <w:rPr>
                <w:rFonts w:cstheme="minorHAnsi"/>
                <w:b/>
                <w:bCs/>
                <w:i/>
                <w:iCs/>
              </w:rPr>
              <w:t xml:space="preserve">Proposed </w:t>
            </w:r>
            <w:r w:rsidRPr="0066750A">
              <w:rPr>
                <w:rFonts w:cstheme="minorHAnsi"/>
                <w:b/>
                <w:bCs/>
                <w:i/>
                <w:iCs/>
              </w:rPr>
              <w:t xml:space="preserve">definition in HEMRM </w:t>
            </w:r>
            <w:r>
              <w:rPr>
                <w:rFonts w:cstheme="minorHAnsi"/>
                <w:b/>
                <w:bCs/>
                <w:i/>
                <w:iCs/>
              </w:rPr>
              <w:t>2023-01, from HG meeting April 2023</w:t>
            </w:r>
            <w:r w:rsidRPr="0066750A">
              <w:rPr>
                <w:rFonts w:cstheme="minorHAnsi"/>
                <w:b/>
                <w:bCs/>
                <w:i/>
                <w:iCs/>
              </w:rPr>
              <w:t>:</w:t>
            </w:r>
          </w:p>
          <w:p w14:paraId="0DAB17E4" w14:textId="2A482AC3" w:rsidR="0073724E" w:rsidRPr="00FB4B15" w:rsidRDefault="0073724E" w:rsidP="0073724E">
            <w:pPr>
              <w:ind w:right="142"/>
              <w:rPr>
                <w:rFonts w:cstheme="minorHAnsi"/>
                <w:lang w:eastAsia="en-GB"/>
              </w:rPr>
            </w:pPr>
            <w:r w:rsidRPr="00FB4B15">
              <w:rPr>
                <w:rFonts w:cstheme="minorHAnsi"/>
                <w:lang w:eastAsia="en-GB"/>
              </w:rPr>
              <w:t xml:space="preserve">A party responsible for providing access to the grid, i.e. allowing a Party Connected to the Grid to take energy from or put energy into the grid through an Accounting Point. </w:t>
            </w:r>
          </w:p>
          <w:p w14:paraId="77C04C08" w14:textId="77777777" w:rsidR="0073724E" w:rsidRPr="00FB4B15" w:rsidRDefault="0073724E" w:rsidP="0073724E">
            <w:pPr>
              <w:spacing w:after="0"/>
              <w:ind w:right="142"/>
              <w:rPr>
                <w:rFonts w:cstheme="minorHAnsi"/>
                <w:b/>
                <w:bCs/>
                <w:lang w:eastAsia="en-GB"/>
              </w:rPr>
            </w:pPr>
            <w:r w:rsidRPr="00FB4B15">
              <w:rPr>
                <w:rFonts w:cstheme="minorHAnsi"/>
                <w:b/>
                <w:bCs/>
                <w:lang w:eastAsia="en-GB"/>
              </w:rPr>
              <w:t>Additional information:</w:t>
            </w:r>
          </w:p>
          <w:p w14:paraId="15123FE1" w14:textId="2731D6AE" w:rsidR="002A41AC" w:rsidRPr="0066750A" w:rsidRDefault="0073724E" w:rsidP="0073724E">
            <w:pPr>
              <w:spacing w:after="0"/>
              <w:ind w:right="142"/>
              <w:rPr>
                <w:rFonts w:cstheme="minorHAnsi"/>
              </w:rPr>
            </w:pPr>
            <w:r w:rsidRPr="00FB4B15">
              <w:rPr>
                <w:rFonts w:cstheme="minorHAnsi"/>
                <w:lang w:eastAsia="en-GB"/>
              </w:rPr>
              <w:t>The Grid Access Provider is also responsible for creating and terminating Accounting Points</w:t>
            </w:r>
          </w:p>
        </w:tc>
        <w:tc>
          <w:tcPr>
            <w:tcW w:w="4043" w:type="dxa"/>
          </w:tcPr>
          <w:p w14:paraId="7829516F" w14:textId="2736C018" w:rsidR="002A41AC" w:rsidRPr="0066750A" w:rsidRDefault="002A41AC" w:rsidP="00964227">
            <w:pPr>
              <w:spacing w:after="0"/>
              <w:rPr>
                <w:rFonts w:cstheme="minorHAnsi"/>
                <w:b/>
                <w:bCs/>
                <w:i/>
                <w:iCs/>
              </w:rPr>
            </w:pPr>
            <w:r w:rsidRPr="0066750A">
              <w:rPr>
                <w:rFonts w:cstheme="minorHAnsi"/>
                <w:b/>
                <w:bCs/>
                <w:i/>
                <w:iCs/>
              </w:rPr>
              <w:t>202</w:t>
            </w:r>
            <w:r w:rsidR="0073724E">
              <w:rPr>
                <w:rFonts w:cstheme="minorHAnsi"/>
                <w:b/>
                <w:bCs/>
                <w:i/>
                <w:iCs/>
              </w:rPr>
              <w:t>30425</w:t>
            </w:r>
            <w:r w:rsidRPr="0066750A">
              <w:rPr>
                <w:rFonts w:cstheme="minorHAnsi"/>
                <w:b/>
                <w:bCs/>
                <w:i/>
                <w:iCs/>
              </w:rPr>
              <w:t>:</w:t>
            </w:r>
          </w:p>
          <w:p w14:paraId="6E2FE15B" w14:textId="41FA521F" w:rsidR="002A41AC" w:rsidRPr="0066750A" w:rsidRDefault="0073724E" w:rsidP="00964227">
            <w:pPr>
              <w:ind w:left="522"/>
              <w:rPr>
                <w:rFonts w:cstheme="minorHAnsi"/>
                <w:lang w:eastAsia="en-GB"/>
              </w:rPr>
            </w:pPr>
            <w:r>
              <w:rPr>
                <w:rFonts w:cstheme="minorHAnsi"/>
                <w:lang w:eastAsia="en-GB"/>
              </w:rPr>
              <w:t>No comments.</w:t>
            </w:r>
          </w:p>
        </w:tc>
      </w:tr>
      <w:tr w:rsidR="002A41AC" w:rsidRPr="0066750A" w14:paraId="4D8B1DC7" w14:textId="77777777" w:rsidTr="00F600E4">
        <w:trPr>
          <w:cantSplit/>
          <w:tblCellSpacing w:w="15" w:type="dxa"/>
        </w:trPr>
        <w:tc>
          <w:tcPr>
            <w:tcW w:w="556" w:type="dxa"/>
            <w:vAlign w:val="center"/>
            <w:hideMark/>
          </w:tcPr>
          <w:p w14:paraId="211879C8" w14:textId="77777777" w:rsidR="002A41AC" w:rsidRPr="0066750A" w:rsidRDefault="002A41AC" w:rsidP="00964227">
            <w:pPr>
              <w:rPr>
                <w:rFonts w:cstheme="minorHAnsi"/>
              </w:rPr>
            </w:pPr>
            <w:r w:rsidRPr="0066750A">
              <w:rPr>
                <w:rFonts w:cstheme="minorHAnsi"/>
              </w:rPr>
              <w:t>Role</w:t>
            </w:r>
          </w:p>
        </w:tc>
        <w:tc>
          <w:tcPr>
            <w:tcW w:w="1518" w:type="dxa"/>
            <w:vAlign w:val="center"/>
          </w:tcPr>
          <w:p w14:paraId="43049F42" w14:textId="77777777" w:rsidR="002A41AC" w:rsidRPr="0066750A" w:rsidRDefault="002A41AC" w:rsidP="00964227">
            <w:pPr>
              <w:rPr>
                <w:rFonts w:cstheme="minorHAnsi"/>
              </w:rPr>
            </w:pPr>
            <w:r w:rsidRPr="0066750A">
              <w:rPr>
                <w:rFonts w:cstheme="minorHAnsi"/>
              </w:rPr>
              <w:t>Imbalance Settlement Responsible</w:t>
            </w:r>
          </w:p>
        </w:tc>
        <w:tc>
          <w:tcPr>
            <w:tcW w:w="3912" w:type="dxa"/>
            <w:vAlign w:val="center"/>
          </w:tcPr>
          <w:p w14:paraId="235E8A42" w14:textId="77777777" w:rsidR="002A41AC" w:rsidRPr="0066750A" w:rsidRDefault="002A41AC" w:rsidP="00964227">
            <w:pPr>
              <w:rPr>
                <w:rFonts w:cstheme="minorHAnsi"/>
              </w:rPr>
            </w:pPr>
            <w:r w:rsidRPr="0066750A">
              <w:rPr>
                <w:rFonts w:cstheme="minorHAnsi"/>
              </w:rPr>
              <w:t>A party that is responsible for settlement of the difference between the contracted quantities with physical delivery and the established quantities of energy products for the Balance Responsible Parties in a Scheduling Area.</w:t>
            </w:r>
          </w:p>
          <w:p w14:paraId="7CEAD34D" w14:textId="77777777" w:rsidR="002A41AC" w:rsidRPr="0066750A" w:rsidRDefault="002A41AC" w:rsidP="00964227">
            <w:pPr>
              <w:rPr>
                <w:rFonts w:cstheme="minorHAnsi"/>
                <w:b/>
                <w:bCs/>
              </w:rPr>
            </w:pPr>
            <w:r w:rsidRPr="0066750A">
              <w:rPr>
                <w:rFonts w:cstheme="minorHAnsi"/>
                <w:b/>
                <w:bCs/>
              </w:rPr>
              <w:t xml:space="preserve">Note: </w:t>
            </w:r>
          </w:p>
          <w:p w14:paraId="57B91C32" w14:textId="77777777" w:rsidR="002A41AC" w:rsidRPr="0066750A" w:rsidRDefault="002A41AC" w:rsidP="00964227">
            <w:pPr>
              <w:rPr>
                <w:rFonts w:cstheme="minorHAnsi"/>
              </w:rPr>
            </w:pPr>
            <w:r w:rsidRPr="0066750A">
              <w:rPr>
                <w:rFonts w:cstheme="minorHAnsi"/>
              </w:rPr>
              <w:t>The Imbalance Settlement Responsible may delegate the invoicing responsibility to a more generic role such as a Billing Agent.</w:t>
            </w:r>
          </w:p>
        </w:tc>
        <w:tc>
          <w:tcPr>
            <w:tcW w:w="4043" w:type="dxa"/>
          </w:tcPr>
          <w:p w14:paraId="737B814E" w14:textId="77777777" w:rsidR="002A41AC" w:rsidRPr="0066750A" w:rsidRDefault="002A41AC" w:rsidP="00964227">
            <w:pPr>
              <w:spacing w:after="0"/>
              <w:rPr>
                <w:rFonts w:cstheme="minorHAnsi"/>
                <w:b/>
                <w:bCs/>
                <w:i/>
                <w:iCs/>
              </w:rPr>
            </w:pPr>
            <w:r w:rsidRPr="0066750A">
              <w:rPr>
                <w:rFonts w:cstheme="minorHAnsi"/>
                <w:b/>
                <w:bCs/>
                <w:i/>
                <w:iCs/>
              </w:rPr>
              <w:t>20221031:</w:t>
            </w:r>
          </w:p>
          <w:p w14:paraId="641C70B0" w14:textId="77777777" w:rsidR="002A41AC" w:rsidRPr="0066750A" w:rsidRDefault="002A41AC" w:rsidP="002A41AC">
            <w:pPr>
              <w:pStyle w:val="ListParagraph"/>
              <w:numPr>
                <w:ilvl w:val="0"/>
                <w:numId w:val="24"/>
              </w:numPr>
              <w:spacing w:after="0"/>
              <w:ind w:left="387" w:hanging="142"/>
              <w:rPr>
                <w:rFonts w:asciiTheme="minorHAnsi" w:hAnsiTheme="minorHAnsi"/>
              </w:rPr>
            </w:pPr>
            <w:r w:rsidRPr="0066750A">
              <w:rPr>
                <w:rFonts w:asciiTheme="minorHAnsi" w:hAnsiTheme="minorHAnsi"/>
              </w:rPr>
              <w:t>Rephrase to:</w:t>
            </w:r>
          </w:p>
          <w:p w14:paraId="321C0ABF" w14:textId="77777777" w:rsidR="002A41AC" w:rsidRPr="0066750A" w:rsidRDefault="002A41AC" w:rsidP="00964227">
            <w:pPr>
              <w:ind w:left="522"/>
              <w:rPr>
                <w:rFonts w:cstheme="minorHAnsi"/>
                <w:i/>
                <w:iCs/>
                <w:lang w:eastAsia="en-GB"/>
              </w:rPr>
            </w:pPr>
            <w:r w:rsidRPr="0066750A">
              <w:rPr>
                <w:rFonts w:cstheme="minorHAnsi"/>
                <w:i/>
                <w:iCs/>
                <w:lang w:eastAsia="en-GB"/>
              </w:rPr>
              <w:t>A party responsible for determination of the difference between the nominated energy quantities and the delivered energy quantities of energy products per Balance Responsible Party in a Scheduling Area.</w:t>
            </w:r>
          </w:p>
          <w:p w14:paraId="78D5100F" w14:textId="77777777" w:rsidR="002A41AC" w:rsidRPr="0066750A" w:rsidRDefault="002A41AC" w:rsidP="00964227">
            <w:pPr>
              <w:spacing w:after="0"/>
              <w:ind w:left="522"/>
              <w:rPr>
                <w:rFonts w:cstheme="minorHAnsi"/>
                <w:b/>
                <w:bCs/>
                <w:i/>
                <w:iCs/>
                <w:lang w:eastAsia="en-GB"/>
              </w:rPr>
            </w:pPr>
            <w:r w:rsidRPr="0066750A">
              <w:rPr>
                <w:rFonts w:cstheme="minorHAnsi"/>
                <w:b/>
                <w:bCs/>
                <w:i/>
                <w:iCs/>
                <w:lang w:eastAsia="en-GB"/>
              </w:rPr>
              <w:t xml:space="preserve">Additional information: </w:t>
            </w:r>
          </w:p>
          <w:p w14:paraId="20D60504" w14:textId="77777777" w:rsidR="002A41AC" w:rsidRPr="0066750A" w:rsidRDefault="002A41AC" w:rsidP="00964227">
            <w:pPr>
              <w:ind w:left="522"/>
              <w:rPr>
                <w:rFonts w:cstheme="minorHAnsi"/>
              </w:rPr>
            </w:pPr>
            <w:r w:rsidRPr="0066750A">
              <w:rPr>
                <w:rFonts w:cstheme="minorHAnsi"/>
                <w:i/>
                <w:iCs/>
                <w:lang w:eastAsia="en-GB"/>
              </w:rPr>
              <w:t>The Imbalance Settlement Responsible may delegate the invoicing responsibility to a more generic role such as a Billing Agent.</w:t>
            </w:r>
          </w:p>
        </w:tc>
      </w:tr>
      <w:tr w:rsidR="002A41AC" w:rsidRPr="0066750A" w14:paraId="6533DE6A" w14:textId="77777777" w:rsidTr="00F600E4">
        <w:trPr>
          <w:cantSplit/>
          <w:tblCellSpacing w:w="15" w:type="dxa"/>
        </w:trPr>
        <w:tc>
          <w:tcPr>
            <w:tcW w:w="556" w:type="dxa"/>
            <w:vAlign w:val="center"/>
            <w:hideMark/>
          </w:tcPr>
          <w:p w14:paraId="6D024564"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0B2CEEF7" w14:textId="77777777" w:rsidR="002A41AC" w:rsidRPr="0066750A" w:rsidRDefault="002A41AC" w:rsidP="00964227">
            <w:pPr>
              <w:rPr>
                <w:rFonts w:cstheme="minorHAnsi"/>
              </w:rPr>
            </w:pPr>
            <w:r w:rsidRPr="0066750A">
              <w:rPr>
                <w:rFonts w:cstheme="minorHAnsi"/>
              </w:rPr>
              <w:t>Interconnection Trade Responsible</w:t>
            </w:r>
          </w:p>
        </w:tc>
        <w:tc>
          <w:tcPr>
            <w:tcW w:w="3912" w:type="dxa"/>
            <w:vAlign w:val="center"/>
          </w:tcPr>
          <w:p w14:paraId="55D820EB" w14:textId="77777777" w:rsidR="002A41AC" w:rsidRPr="0066750A" w:rsidRDefault="002A41AC" w:rsidP="00964227">
            <w:pPr>
              <w:rPr>
                <w:rFonts w:cstheme="minorHAnsi"/>
              </w:rPr>
            </w:pPr>
            <w:r w:rsidRPr="0066750A">
              <w:rPr>
                <w:rFonts w:cstheme="minorHAnsi"/>
              </w:rPr>
              <w:t>Is a Balance Responsible Party or depends on one. He is recognised by the Nomination Validator for the nomination of already allocated capacity.</w:t>
            </w:r>
          </w:p>
          <w:p w14:paraId="5F73B122" w14:textId="77777777" w:rsidR="002A41AC" w:rsidRPr="0066750A" w:rsidRDefault="002A41AC" w:rsidP="00964227">
            <w:pPr>
              <w:rPr>
                <w:rFonts w:cstheme="minorHAnsi"/>
                <w:b/>
                <w:bCs/>
              </w:rPr>
            </w:pPr>
            <w:r w:rsidRPr="0066750A">
              <w:rPr>
                <w:rFonts w:cstheme="minorHAnsi"/>
                <w:b/>
                <w:bCs/>
              </w:rPr>
              <w:t xml:space="preserve">Additional information: </w:t>
            </w:r>
          </w:p>
          <w:p w14:paraId="745F566A" w14:textId="77777777" w:rsidR="002A41AC" w:rsidRPr="0066750A" w:rsidRDefault="002A41AC" w:rsidP="00964227">
            <w:pPr>
              <w:rPr>
                <w:rFonts w:cstheme="minorHAnsi"/>
              </w:rPr>
            </w:pPr>
            <w:r w:rsidRPr="0066750A">
              <w:rPr>
                <w:rFonts w:cstheme="minorHAnsi"/>
              </w:rPr>
              <w:t>This is a type of Balance Responsible Party.</w:t>
            </w:r>
          </w:p>
        </w:tc>
        <w:tc>
          <w:tcPr>
            <w:tcW w:w="4043" w:type="dxa"/>
          </w:tcPr>
          <w:p w14:paraId="08832463" w14:textId="77777777" w:rsidR="002A41AC" w:rsidRPr="0066750A" w:rsidRDefault="002A41AC" w:rsidP="00964227">
            <w:pPr>
              <w:spacing w:after="0"/>
              <w:rPr>
                <w:rFonts w:cstheme="minorHAnsi"/>
                <w:b/>
                <w:bCs/>
                <w:i/>
                <w:iCs/>
              </w:rPr>
            </w:pPr>
            <w:r w:rsidRPr="0066750A">
              <w:rPr>
                <w:rFonts w:cstheme="minorHAnsi"/>
                <w:b/>
                <w:bCs/>
                <w:i/>
                <w:iCs/>
              </w:rPr>
              <w:t>20221207:</w:t>
            </w:r>
          </w:p>
          <w:p w14:paraId="2A179174" w14:textId="77777777" w:rsidR="002A41AC" w:rsidRPr="0066750A" w:rsidRDefault="002A41AC" w:rsidP="002A41AC">
            <w:pPr>
              <w:pStyle w:val="ListParagraph"/>
              <w:numPr>
                <w:ilvl w:val="0"/>
                <w:numId w:val="24"/>
              </w:numPr>
              <w:spacing w:after="0"/>
              <w:ind w:left="387" w:hanging="142"/>
              <w:rPr>
                <w:rFonts w:asciiTheme="minorHAnsi" w:hAnsiTheme="minorHAnsi"/>
              </w:rPr>
            </w:pPr>
            <w:r w:rsidRPr="0066750A">
              <w:rPr>
                <w:rFonts w:asciiTheme="minorHAnsi" w:hAnsiTheme="minorHAnsi"/>
              </w:rPr>
              <w:t>This is not a definition (it contradicts itself and doesn’t explain what the role does)</w:t>
            </w:r>
          </w:p>
        </w:tc>
      </w:tr>
      <w:tr w:rsidR="002A41AC" w:rsidRPr="0066750A" w14:paraId="197FB719" w14:textId="77777777" w:rsidTr="00F600E4">
        <w:trPr>
          <w:cantSplit/>
          <w:tblCellSpacing w:w="15" w:type="dxa"/>
        </w:trPr>
        <w:tc>
          <w:tcPr>
            <w:tcW w:w="556" w:type="dxa"/>
            <w:vAlign w:val="center"/>
          </w:tcPr>
          <w:p w14:paraId="11E86918" w14:textId="77777777" w:rsidR="002A41AC" w:rsidRPr="0066750A" w:rsidRDefault="002A41AC" w:rsidP="00964227">
            <w:pPr>
              <w:rPr>
                <w:rFonts w:cstheme="minorHAnsi"/>
              </w:rPr>
            </w:pPr>
            <w:r w:rsidRPr="0066750A">
              <w:rPr>
                <w:rFonts w:cstheme="minorHAnsi"/>
              </w:rPr>
              <w:t>Role</w:t>
            </w:r>
          </w:p>
        </w:tc>
        <w:tc>
          <w:tcPr>
            <w:tcW w:w="1518" w:type="dxa"/>
            <w:vAlign w:val="center"/>
          </w:tcPr>
          <w:p w14:paraId="1C14765E" w14:textId="77777777" w:rsidR="002A41AC" w:rsidRPr="0066750A" w:rsidRDefault="002A41AC" w:rsidP="00964227">
            <w:pPr>
              <w:rPr>
                <w:rFonts w:cstheme="minorHAnsi"/>
              </w:rPr>
            </w:pPr>
            <w:r w:rsidRPr="0066750A">
              <w:rPr>
                <w:rFonts w:cstheme="minorHAnsi"/>
              </w:rPr>
              <w:t>LFC Operator</w:t>
            </w:r>
          </w:p>
        </w:tc>
        <w:tc>
          <w:tcPr>
            <w:tcW w:w="3912" w:type="dxa"/>
            <w:vAlign w:val="center"/>
          </w:tcPr>
          <w:p w14:paraId="580DB3E9" w14:textId="77777777" w:rsidR="002A41AC" w:rsidRPr="0066750A" w:rsidRDefault="002A41AC" w:rsidP="00964227">
            <w:pPr>
              <w:rPr>
                <w:rFonts w:cstheme="minorHAnsi"/>
              </w:rPr>
            </w:pPr>
            <w:r w:rsidRPr="0066750A">
              <w:rPr>
                <w:rFonts w:cstheme="minorHAnsi"/>
              </w:rPr>
              <w:t>Responsible for the load frequency control for its LFC Area or LFC Block.</w:t>
            </w:r>
          </w:p>
          <w:p w14:paraId="20BBE197" w14:textId="77777777" w:rsidR="002A41AC" w:rsidRPr="0066750A" w:rsidRDefault="002A41AC" w:rsidP="00964227">
            <w:pPr>
              <w:rPr>
                <w:rFonts w:cstheme="minorHAnsi"/>
                <w:b/>
                <w:bCs/>
              </w:rPr>
            </w:pPr>
            <w:r w:rsidRPr="0066750A">
              <w:rPr>
                <w:rFonts w:cstheme="minorHAnsi"/>
                <w:b/>
                <w:bCs/>
              </w:rPr>
              <w:t>Additional information:</w:t>
            </w:r>
          </w:p>
          <w:p w14:paraId="62CA1F91" w14:textId="77777777" w:rsidR="002A41AC" w:rsidRPr="0066750A" w:rsidDel="00AE7482" w:rsidRDefault="002A41AC" w:rsidP="00964227">
            <w:pPr>
              <w:rPr>
                <w:rFonts w:cstheme="minorHAnsi"/>
              </w:rPr>
            </w:pPr>
            <w:r w:rsidRPr="0066750A">
              <w:rPr>
                <w:rFonts w:cstheme="minorHAnsi"/>
              </w:rPr>
              <w:t>This role is typically performed by a TSO.</w:t>
            </w:r>
          </w:p>
        </w:tc>
        <w:tc>
          <w:tcPr>
            <w:tcW w:w="4043" w:type="dxa"/>
          </w:tcPr>
          <w:p w14:paraId="7F29E2FA" w14:textId="77777777" w:rsidR="002A41AC" w:rsidRPr="0066750A" w:rsidRDefault="002A41AC" w:rsidP="00964227">
            <w:pPr>
              <w:spacing w:after="0"/>
              <w:rPr>
                <w:rFonts w:cstheme="minorHAnsi"/>
                <w:b/>
                <w:bCs/>
                <w:i/>
                <w:iCs/>
              </w:rPr>
            </w:pPr>
            <w:r w:rsidRPr="0066750A">
              <w:rPr>
                <w:rFonts w:cstheme="minorHAnsi"/>
                <w:b/>
                <w:bCs/>
                <w:i/>
                <w:iCs/>
              </w:rPr>
              <w:t>20221207:</w:t>
            </w:r>
          </w:p>
          <w:p w14:paraId="04F580D8"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595C80DC" w14:textId="77777777" w:rsidR="002A41AC" w:rsidRPr="0066750A" w:rsidRDefault="002A41AC" w:rsidP="00964227">
            <w:pPr>
              <w:ind w:left="522"/>
              <w:rPr>
                <w:rFonts w:cstheme="minorHAnsi"/>
                <w:i/>
                <w:iCs/>
              </w:rPr>
            </w:pPr>
            <w:r w:rsidRPr="0066750A">
              <w:rPr>
                <w:rFonts w:cstheme="minorHAnsi"/>
                <w:i/>
                <w:iCs/>
              </w:rPr>
              <w:t>A party responsible for the frequency control of the load of a LFC Area or a LFC Block</w:t>
            </w:r>
          </w:p>
          <w:p w14:paraId="4CC86012" w14:textId="77777777" w:rsidR="002A41AC" w:rsidRPr="0066750A" w:rsidRDefault="002A41AC" w:rsidP="00964227">
            <w:pPr>
              <w:spacing w:after="0"/>
              <w:ind w:left="522"/>
              <w:rPr>
                <w:rFonts w:cstheme="minorHAnsi"/>
                <w:b/>
                <w:bCs/>
                <w:i/>
                <w:iCs/>
              </w:rPr>
            </w:pPr>
            <w:r w:rsidRPr="0066750A">
              <w:rPr>
                <w:rFonts w:cstheme="minorHAnsi"/>
                <w:b/>
                <w:bCs/>
                <w:i/>
                <w:iCs/>
                <w:lang w:eastAsia="en-GB"/>
              </w:rPr>
              <w:t>Additional</w:t>
            </w:r>
            <w:r w:rsidRPr="0066750A">
              <w:rPr>
                <w:rFonts w:cstheme="minorHAnsi"/>
                <w:b/>
                <w:bCs/>
                <w:i/>
                <w:iCs/>
              </w:rPr>
              <w:t xml:space="preserve"> information:</w:t>
            </w:r>
          </w:p>
          <w:p w14:paraId="3E1A7ED0" w14:textId="77777777" w:rsidR="002A41AC" w:rsidRPr="0066750A" w:rsidRDefault="002A41AC" w:rsidP="00964227">
            <w:pPr>
              <w:ind w:left="522"/>
              <w:rPr>
                <w:rFonts w:cstheme="minorHAnsi"/>
              </w:rPr>
            </w:pPr>
            <w:r w:rsidRPr="0066750A">
              <w:rPr>
                <w:rFonts w:cstheme="minorHAnsi"/>
                <w:i/>
                <w:iCs/>
              </w:rPr>
              <w:t>This role is typically performed by a TSO.</w:t>
            </w:r>
          </w:p>
        </w:tc>
      </w:tr>
      <w:tr w:rsidR="002A41AC" w:rsidRPr="0066750A" w14:paraId="5AB2E976" w14:textId="77777777" w:rsidTr="00F600E4">
        <w:trPr>
          <w:cantSplit/>
          <w:tblCellSpacing w:w="15" w:type="dxa"/>
        </w:trPr>
        <w:tc>
          <w:tcPr>
            <w:tcW w:w="556" w:type="dxa"/>
            <w:vAlign w:val="center"/>
            <w:hideMark/>
          </w:tcPr>
          <w:p w14:paraId="53A00323"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CA53360" w14:textId="77777777" w:rsidR="002A41AC" w:rsidRPr="0066750A" w:rsidRDefault="002A41AC" w:rsidP="00964227">
            <w:pPr>
              <w:rPr>
                <w:rFonts w:cstheme="minorHAnsi"/>
              </w:rPr>
            </w:pPr>
            <w:r w:rsidRPr="0066750A">
              <w:rPr>
                <w:rFonts w:cstheme="minorHAnsi"/>
              </w:rPr>
              <w:t>Market Information Aggregator</w:t>
            </w:r>
          </w:p>
        </w:tc>
        <w:tc>
          <w:tcPr>
            <w:tcW w:w="3912" w:type="dxa"/>
            <w:vAlign w:val="center"/>
          </w:tcPr>
          <w:p w14:paraId="28B0C5AA" w14:textId="77777777" w:rsidR="002A41AC" w:rsidRPr="0066750A" w:rsidRDefault="002A41AC" w:rsidP="00964227">
            <w:pPr>
              <w:rPr>
                <w:rFonts w:cstheme="minorHAnsi"/>
              </w:rPr>
            </w:pPr>
            <w:r w:rsidRPr="0066750A">
              <w:rPr>
                <w:rFonts w:cstheme="minorHAnsi"/>
              </w:rPr>
              <w:t>A party that provides market related information that has been compiled from the figures supplied by different actors in the market. This information may also be published or distributed for general use.</w:t>
            </w:r>
          </w:p>
          <w:p w14:paraId="209BD1CB" w14:textId="77777777" w:rsidR="002A41AC" w:rsidRPr="0066750A" w:rsidRDefault="002A41AC" w:rsidP="00964227">
            <w:pPr>
              <w:rPr>
                <w:rFonts w:cstheme="minorHAnsi"/>
              </w:rPr>
            </w:pPr>
            <w:r w:rsidRPr="0066750A">
              <w:rPr>
                <w:rFonts w:cstheme="minorHAnsi"/>
              </w:rPr>
              <w:t xml:space="preserve">Note: </w:t>
            </w:r>
          </w:p>
          <w:p w14:paraId="14CC13B8" w14:textId="77777777" w:rsidR="002A41AC" w:rsidRPr="0066750A" w:rsidRDefault="002A41AC" w:rsidP="00964227">
            <w:pPr>
              <w:rPr>
                <w:rFonts w:cstheme="minorHAnsi"/>
              </w:rPr>
            </w:pPr>
            <w:r w:rsidRPr="0066750A">
              <w:rPr>
                <w:rFonts w:cstheme="minorHAnsi"/>
              </w:rPr>
              <w:t>The Market Information Aggregator may receive information from any market participant that is relevant for publication or distribution.</w:t>
            </w:r>
          </w:p>
        </w:tc>
        <w:tc>
          <w:tcPr>
            <w:tcW w:w="4043" w:type="dxa"/>
          </w:tcPr>
          <w:p w14:paraId="741D2B72" w14:textId="77777777" w:rsidR="002A41AC" w:rsidRPr="0066750A" w:rsidRDefault="002A41AC" w:rsidP="00964227">
            <w:pPr>
              <w:spacing w:after="0"/>
              <w:rPr>
                <w:rFonts w:cstheme="minorHAnsi"/>
                <w:b/>
                <w:bCs/>
                <w:i/>
                <w:iCs/>
              </w:rPr>
            </w:pPr>
            <w:r w:rsidRPr="0066750A">
              <w:rPr>
                <w:rFonts w:cstheme="minorHAnsi"/>
                <w:b/>
                <w:bCs/>
                <w:i/>
                <w:iCs/>
              </w:rPr>
              <w:t>20221207:</w:t>
            </w:r>
          </w:p>
          <w:p w14:paraId="1E1897B2"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30805511" w14:textId="77777777" w:rsidR="002A41AC" w:rsidRPr="0066750A" w:rsidRDefault="002A41AC" w:rsidP="00964227">
            <w:pPr>
              <w:ind w:left="522"/>
              <w:rPr>
                <w:rFonts w:cstheme="minorHAnsi"/>
                <w:i/>
                <w:iCs/>
              </w:rPr>
            </w:pPr>
            <w:r w:rsidRPr="0066750A">
              <w:rPr>
                <w:rFonts w:cstheme="minorHAnsi"/>
                <w:i/>
                <w:iCs/>
              </w:rPr>
              <w:t xml:space="preserve">A party publishing market related information, compiled from information supplied by different actors in the </w:t>
            </w:r>
            <w:r w:rsidR="0071795C" w:rsidRPr="0066750A">
              <w:rPr>
                <w:rFonts w:cstheme="minorHAnsi"/>
                <w:i/>
                <w:iCs/>
              </w:rPr>
              <w:t xml:space="preserve">energy </w:t>
            </w:r>
            <w:r w:rsidRPr="0066750A">
              <w:rPr>
                <w:rFonts w:cstheme="minorHAnsi"/>
                <w:i/>
                <w:iCs/>
              </w:rPr>
              <w:t xml:space="preserve">market. </w:t>
            </w:r>
          </w:p>
          <w:p w14:paraId="464C3901" w14:textId="661D7FAC" w:rsidR="002A41AC" w:rsidRPr="0066750A" w:rsidRDefault="0071795C" w:rsidP="00964227">
            <w:pPr>
              <w:spacing w:after="0"/>
              <w:ind w:left="522"/>
              <w:rPr>
                <w:rFonts w:cstheme="minorHAnsi"/>
                <w:b/>
                <w:bCs/>
                <w:i/>
                <w:iCs/>
                <w:strike/>
              </w:rPr>
            </w:pPr>
            <w:r w:rsidRPr="0066750A">
              <w:rPr>
                <w:rFonts w:cstheme="minorHAnsi"/>
                <w:b/>
                <w:bCs/>
                <w:i/>
                <w:iCs/>
                <w:strike/>
                <w:lang w:eastAsia="en-GB"/>
              </w:rPr>
              <w:t>Note</w:t>
            </w:r>
            <w:r w:rsidR="002A41AC" w:rsidRPr="0066750A">
              <w:rPr>
                <w:rFonts w:cstheme="minorHAnsi"/>
                <w:b/>
                <w:bCs/>
                <w:i/>
                <w:iCs/>
                <w:strike/>
              </w:rPr>
              <w:t>:</w:t>
            </w:r>
          </w:p>
          <w:p w14:paraId="7533AE4E" w14:textId="77777777" w:rsidR="002A41AC" w:rsidRPr="0066750A" w:rsidRDefault="002A41AC" w:rsidP="00964227">
            <w:pPr>
              <w:ind w:left="522"/>
              <w:rPr>
                <w:rFonts w:cstheme="minorHAnsi"/>
              </w:rPr>
            </w:pPr>
            <w:r w:rsidRPr="0066750A">
              <w:rPr>
                <w:rFonts w:cstheme="minorHAnsi"/>
                <w:i/>
                <w:iCs/>
                <w:strike/>
              </w:rPr>
              <w:t>The Market Information Aggregator may receive information from any market participant that is relevant for publication or distribution.</w:t>
            </w:r>
          </w:p>
        </w:tc>
      </w:tr>
      <w:tr w:rsidR="002A41AC" w:rsidRPr="0066750A" w14:paraId="4188B596" w14:textId="77777777" w:rsidTr="00F600E4">
        <w:trPr>
          <w:cantSplit/>
          <w:tblCellSpacing w:w="15" w:type="dxa"/>
        </w:trPr>
        <w:tc>
          <w:tcPr>
            <w:tcW w:w="556" w:type="dxa"/>
            <w:vAlign w:val="center"/>
            <w:hideMark/>
          </w:tcPr>
          <w:p w14:paraId="1CB328EA"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203552B4" w14:textId="77777777" w:rsidR="002A41AC" w:rsidRPr="0066750A" w:rsidRDefault="002A41AC" w:rsidP="00964227">
            <w:pPr>
              <w:rPr>
                <w:rFonts w:cstheme="minorHAnsi"/>
              </w:rPr>
            </w:pPr>
            <w:r w:rsidRPr="0066750A">
              <w:rPr>
                <w:rFonts w:cstheme="minorHAnsi"/>
              </w:rPr>
              <w:t>Market Operator</w:t>
            </w:r>
          </w:p>
        </w:tc>
        <w:tc>
          <w:tcPr>
            <w:tcW w:w="3912" w:type="dxa"/>
            <w:vAlign w:val="center"/>
          </w:tcPr>
          <w:p w14:paraId="38B297FC" w14:textId="77777777" w:rsidR="002A41AC" w:rsidRPr="0066750A" w:rsidRDefault="002A41AC" w:rsidP="00964227">
            <w:pPr>
              <w:rPr>
                <w:rFonts w:cstheme="minorHAnsi"/>
                <w:bCs/>
              </w:rPr>
            </w:pPr>
            <w:r w:rsidRPr="0066750A">
              <w:rPr>
                <w:rFonts w:cstheme="minorHAnsi"/>
                <w:bCs/>
                <w:iCs/>
              </w:rPr>
              <w:t xml:space="preserve">A party </w:t>
            </w:r>
            <w:r w:rsidRPr="0066750A">
              <w:rPr>
                <w:rFonts w:cstheme="minorHAnsi"/>
                <w:bCs/>
              </w:rPr>
              <w:t>that provides a service whereby the offers to sell electricity are matched with bids to buy electricity.</w:t>
            </w:r>
          </w:p>
          <w:p w14:paraId="367D7B29" w14:textId="77777777" w:rsidR="002A41AC" w:rsidRPr="0066750A" w:rsidRDefault="002A41AC" w:rsidP="00964227">
            <w:pPr>
              <w:rPr>
                <w:rFonts w:cstheme="minorHAnsi"/>
                <w:b/>
              </w:rPr>
            </w:pPr>
            <w:r w:rsidRPr="0066750A">
              <w:rPr>
                <w:rFonts w:cstheme="minorHAnsi"/>
                <w:b/>
              </w:rPr>
              <w:t>Additional Information:</w:t>
            </w:r>
          </w:p>
          <w:p w14:paraId="06EA9ADB" w14:textId="77777777" w:rsidR="002A41AC" w:rsidRPr="0066750A" w:rsidRDefault="002A41AC" w:rsidP="00964227">
            <w:pPr>
              <w:rPr>
                <w:rFonts w:cstheme="minorHAnsi"/>
                <w:bCs/>
                <w:iCs/>
              </w:rPr>
            </w:pPr>
            <w:r w:rsidRPr="0066750A">
              <w:rPr>
                <w:rFonts w:cstheme="minorHAnsi"/>
                <w:bCs/>
              </w:rPr>
              <w:t xml:space="preserve">The definition above is based on </w:t>
            </w:r>
            <w:hyperlink r:id="rId17" w:history="1">
              <w:r w:rsidRPr="0066750A">
                <w:rPr>
                  <w:rStyle w:val="Hyperlink"/>
                  <w:rFonts w:cstheme="minorHAnsi"/>
                  <w:bCs/>
                </w:rPr>
                <w:t>Regulation on the internal market for electricity (EU) 2019/943</w:t>
              </w:r>
            </w:hyperlink>
            <w:r w:rsidRPr="0066750A">
              <w:rPr>
                <w:rFonts w:cstheme="minorHAnsi"/>
                <w:bCs/>
                <w:iCs/>
              </w:rPr>
              <w:t>:</w:t>
            </w:r>
          </w:p>
          <w:p w14:paraId="7143778E" w14:textId="77777777" w:rsidR="002A41AC" w:rsidRPr="0066750A" w:rsidRDefault="002A41AC" w:rsidP="00964227">
            <w:pPr>
              <w:rPr>
                <w:rFonts w:cstheme="minorHAnsi"/>
                <w:bCs/>
                <w:iCs/>
              </w:rPr>
            </w:pPr>
            <w:r w:rsidRPr="0066750A">
              <w:rPr>
                <w:rFonts w:cstheme="minorHAnsi"/>
                <w:bCs/>
                <w:iCs/>
              </w:rPr>
              <w:t>A more detailed description:</w:t>
            </w:r>
          </w:p>
          <w:p w14:paraId="444E8509" w14:textId="77777777" w:rsidR="002A41AC" w:rsidRPr="0066750A" w:rsidRDefault="002A41AC" w:rsidP="00964227">
            <w:pPr>
              <w:rPr>
                <w:rFonts w:cstheme="minorHAnsi"/>
                <w:bCs/>
              </w:rPr>
            </w:pPr>
            <w:r w:rsidRPr="0066750A">
              <w:rPr>
                <w:rFonts w:cstheme="minorHAnsi"/>
                <w:bCs/>
                <w:iCs/>
              </w:rPr>
              <w:t xml:space="preserve">A party that provides a service of collecting offers to sell and bids to buy </w:t>
            </w:r>
            <w:proofErr w:type="gramStart"/>
            <w:r w:rsidRPr="0066750A">
              <w:rPr>
                <w:rFonts w:cstheme="minorHAnsi"/>
                <w:bCs/>
                <w:iCs/>
              </w:rPr>
              <w:t>electricity, and</w:t>
            </w:r>
            <w:proofErr w:type="gramEnd"/>
            <w:r w:rsidRPr="0066750A">
              <w:rPr>
                <w:rFonts w:cstheme="minorHAnsi"/>
                <w:bCs/>
                <w:iCs/>
              </w:rPr>
              <w:t xml:space="preserve"> matching these offers and bids in order to determine a market price at the clearing point. This activity can be conducted in the forward, days-ahead and/or intraday timeframes, and can be combined with transmission capacity allocation in the context of market coupling.</w:t>
            </w:r>
          </w:p>
          <w:p w14:paraId="13528D41" w14:textId="77777777" w:rsidR="002A41AC" w:rsidRPr="0066750A" w:rsidRDefault="002A41AC" w:rsidP="00964227">
            <w:pPr>
              <w:rPr>
                <w:rFonts w:cstheme="minorHAnsi"/>
              </w:rPr>
            </w:pPr>
            <w:r w:rsidRPr="0066750A">
              <w:rPr>
                <w:rFonts w:cstheme="minorHAnsi"/>
                <w:bCs/>
              </w:rPr>
              <w:t>This is usually an energy/power exchange or platform.</w:t>
            </w:r>
          </w:p>
        </w:tc>
        <w:tc>
          <w:tcPr>
            <w:tcW w:w="4043" w:type="dxa"/>
          </w:tcPr>
          <w:p w14:paraId="6101A810" w14:textId="77777777" w:rsidR="002A41AC" w:rsidRPr="0066750A" w:rsidRDefault="002A41AC" w:rsidP="00964227">
            <w:pPr>
              <w:spacing w:after="0"/>
              <w:rPr>
                <w:rFonts w:cstheme="minorHAnsi"/>
                <w:b/>
                <w:bCs/>
                <w:i/>
                <w:iCs/>
              </w:rPr>
            </w:pPr>
            <w:r w:rsidRPr="0066750A">
              <w:rPr>
                <w:rFonts w:cstheme="minorHAnsi"/>
                <w:b/>
                <w:bCs/>
                <w:i/>
                <w:iCs/>
              </w:rPr>
              <w:t>20221207:</w:t>
            </w:r>
          </w:p>
          <w:p w14:paraId="17996986"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7371E8E2" w14:textId="306E72AA" w:rsidR="002A41AC" w:rsidRPr="0066750A" w:rsidRDefault="002A41AC" w:rsidP="00964227">
            <w:pPr>
              <w:ind w:left="522"/>
              <w:rPr>
                <w:rFonts w:cstheme="minorHAnsi"/>
                <w:i/>
                <w:iCs/>
              </w:rPr>
            </w:pPr>
            <w:r w:rsidRPr="0066750A">
              <w:rPr>
                <w:rStyle w:val="cf01"/>
                <w:rFonts w:asciiTheme="minorHAnsi" w:hAnsiTheme="minorHAnsi" w:cstheme="minorHAnsi"/>
                <w:i/>
                <w:iCs/>
                <w:sz w:val="22"/>
                <w:szCs w:val="22"/>
              </w:rPr>
              <w:t xml:space="preserve">A party </w:t>
            </w:r>
            <w:r w:rsidR="0071795C" w:rsidRPr="0066750A">
              <w:rPr>
                <w:rStyle w:val="cf01"/>
                <w:rFonts w:asciiTheme="minorHAnsi" w:hAnsiTheme="minorHAnsi" w:cstheme="minorHAnsi"/>
                <w:i/>
                <w:iCs/>
                <w:sz w:val="22"/>
                <w:szCs w:val="22"/>
              </w:rPr>
              <w:t xml:space="preserve">that provides </w:t>
            </w:r>
            <w:r w:rsidRPr="0066750A">
              <w:rPr>
                <w:rStyle w:val="cf01"/>
                <w:rFonts w:asciiTheme="minorHAnsi" w:hAnsiTheme="minorHAnsi" w:cstheme="minorHAnsi"/>
                <w:i/>
                <w:iCs/>
                <w:sz w:val="22"/>
                <w:szCs w:val="22"/>
              </w:rPr>
              <w:t>services for matching offers to sell energy with bids to buy energy</w:t>
            </w:r>
            <w:r w:rsidRPr="0066750A">
              <w:rPr>
                <w:rFonts w:cstheme="minorHAnsi"/>
                <w:i/>
                <w:iCs/>
              </w:rPr>
              <w:t>.</w:t>
            </w:r>
          </w:p>
          <w:p w14:paraId="74001092" w14:textId="77777777" w:rsidR="002A41AC" w:rsidRPr="0066750A" w:rsidRDefault="002A41AC" w:rsidP="00964227">
            <w:pPr>
              <w:pStyle w:val="ListParagraph"/>
              <w:numPr>
                <w:ilvl w:val="0"/>
                <w:numId w:val="0"/>
              </w:numPr>
              <w:ind w:left="386"/>
              <w:rPr>
                <w:rFonts w:asciiTheme="minorHAnsi" w:hAnsiTheme="minorHAnsi"/>
                <w:bCs w:val="0"/>
                <w:iCs/>
              </w:rPr>
            </w:pPr>
            <w:r w:rsidRPr="0066750A">
              <w:rPr>
                <w:rFonts w:asciiTheme="minorHAnsi" w:hAnsiTheme="minorHAnsi"/>
                <w:iCs/>
              </w:rPr>
              <w:t>And keep the Additional information.</w:t>
            </w:r>
          </w:p>
        </w:tc>
      </w:tr>
      <w:tr w:rsidR="002A41AC" w:rsidRPr="0066750A" w14:paraId="727AC72F" w14:textId="77777777" w:rsidTr="00F600E4">
        <w:trPr>
          <w:cantSplit/>
          <w:tblCellSpacing w:w="15" w:type="dxa"/>
        </w:trPr>
        <w:tc>
          <w:tcPr>
            <w:tcW w:w="556" w:type="dxa"/>
            <w:vAlign w:val="center"/>
            <w:hideMark/>
          </w:tcPr>
          <w:p w14:paraId="34AB21C5" w14:textId="77777777" w:rsidR="002A41AC" w:rsidRPr="0066750A" w:rsidRDefault="002A41AC" w:rsidP="00964227">
            <w:pPr>
              <w:rPr>
                <w:rFonts w:cstheme="minorHAnsi"/>
              </w:rPr>
            </w:pPr>
            <w:r w:rsidRPr="0066750A">
              <w:rPr>
                <w:rFonts w:cstheme="minorHAnsi"/>
              </w:rPr>
              <w:t>Role</w:t>
            </w:r>
          </w:p>
        </w:tc>
        <w:tc>
          <w:tcPr>
            <w:tcW w:w="1518" w:type="dxa"/>
            <w:vAlign w:val="center"/>
          </w:tcPr>
          <w:p w14:paraId="243B5A16" w14:textId="77777777" w:rsidR="002A41AC" w:rsidRPr="0066750A" w:rsidRDefault="002A41AC" w:rsidP="00964227">
            <w:pPr>
              <w:rPr>
                <w:rFonts w:cstheme="minorHAnsi"/>
              </w:rPr>
            </w:pPr>
            <w:r w:rsidRPr="0066750A">
              <w:rPr>
                <w:rFonts w:cstheme="minorHAnsi"/>
              </w:rPr>
              <w:t>Merit Order List Responsible</w:t>
            </w:r>
          </w:p>
        </w:tc>
        <w:tc>
          <w:tcPr>
            <w:tcW w:w="3912" w:type="dxa"/>
            <w:vAlign w:val="center"/>
          </w:tcPr>
          <w:p w14:paraId="13FBB777" w14:textId="77777777" w:rsidR="002A41AC" w:rsidRPr="0066750A" w:rsidRDefault="002A41AC" w:rsidP="00964227">
            <w:pPr>
              <w:rPr>
                <w:rFonts w:cstheme="minorHAnsi"/>
              </w:rPr>
            </w:pPr>
            <w:r w:rsidRPr="0066750A">
              <w:rPr>
                <w:rFonts w:cstheme="minorHAnsi"/>
              </w:rPr>
              <w:t>Responsible for the management of the available tenders for all Acquiring LFC Operators to establish the order of the reserve capacity that can be activated.</w:t>
            </w:r>
          </w:p>
        </w:tc>
        <w:tc>
          <w:tcPr>
            <w:tcW w:w="4043" w:type="dxa"/>
          </w:tcPr>
          <w:p w14:paraId="3ABA0FEC" w14:textId="77777777" w:rsidR="002A41AC" w:rsidRPr="0066750A" w:rsidRDefault="002A41AC" w:rsidP="00964227">
            <w:pPr>
              <w:spacing w:after="0"/>
              <w:rPr>
                <w:rFonts w:cstheme="minorHAnsi"/>
                <w:b/>
                <w:bCs/>
                <w:i/>
                <w:iCs/>
              </w:rPr>
            </w:pPr>
            <w:r w:rsidRPr="0066750A">
              <w:rPr>
                <w:rFonts w:cstheme="minorHAnsi"/>
                <w:b/>
                <w:bCs/>
                <w:i/>
                <w:iCs/>
              </w:rPr>
              <w:t>20221207:</w:t>
            </w:r>
          </w:p>
          <w:p w14:paraId="0F019359"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What is meant by “</w:t>
            </w:r>
            <w:proofErr w:type="gramStart"/>
            <w:r w:rsidRPr="0066750A">
              <w:rPr>
                <w:rFonts w:asciiTheme="minorHAnsi" w:hAnsiTheme="minorHAnsi"/>
              </w:rPr>
              <w:t>….all</w:t>
            </w:r>
            <w:proofErr w:type="gramEnd"/>
            <w:r w:rsidRPr="0066750A">
              <w:rPr>
                <w:rFonts w:asciiTheme="minorHAnsi" w:hAnsiTheme="minorHAnsi"/>
              </w:rPr>
              <w:t xml:space="preserve"> Acquiring LFC Operators….”?</w:t>
            </w:r>
          </w:p>
          <w:p w14:paraId="4A7E832A"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Then rephrase to the format:</w:t>
            </w:r>
            <w:r w:rsidRPr="0066750A">
              <w:rPr>
                <w:rFonts w:asciiTheme="minorHAnsi" w:hAnsiTheme="minorHAnsi"/>
              </w:rPr>
              <w:br/>
              <w:t>A party responsible…</w:t>
            </w:r>
          </w:p>
        </w:tc>
      </w:tr>
      <w:tr w:rsidR="002A41AC" w:rsidRPr="0066750A" w14:paraId="280AA842" w14:textId="77777777" w:rsidTr="00F600E4">
        <w:trPr>
          <w:cantSplit/>
          <w:tblCellSpacing w:w="15" w:type="dxa"/>
        </w:trPr>
        <w:tc>
          <w:tcPr>
            <w:tcW w:w="556" w:type="dxa"/>
            <w:vAlign w:val="center"/>
            <w:hideMark/>
          </w:tcPr>
          <w:p w14:paraId="6B38499D"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696CE978" w14:textId="77777777" w:rsidR="002A41AC" w:rsidRPr="0066750A" w:rsidRDefault="002A41AC" w:rsidP="00964227">
            <w:pPr>
              <w:rPr>
                <w:rFonts w:cstheme="minorHAnsi"/>
              </w:rPr>
            </w:pPr>
            <w:r w:rsidRPr="0066750A">
              <w:rPr>
                <w:rFonts w:cstheme="minorHAnsi"/>
              </w:rPr>
              <w:t>Meter Administrator</w:t>
            </w:r>
          </w:p>
        </w:tc>
        <w:tc>
          <w:tcPr>
            <w:tcW w:w="3912" w:type="dxa"/>
            <w:vAlign w:val="center"/>
          </w:tcPr>
          <w:p w14:paraId="12458DEB" w14:textId="77777777" w:rsidR="002A41AC" w:rsidRPr="0066750A" w:rsidRDefault="002A41AC" w:rsidP="00964227">
            <w:pPr>
              <w:rPr>
                <w:rFonts w:cstheme="minorHAnsi"/>
              </w:rPr>
            </w:pPr>
            <w:r w:rsidRPr="0066750A">
              <w:rPr>
                <w:rFonts w:cstheme="minorHAnsi"/>
              </w:rPr>
              <w:t>A party responsible for keeping a database of meters.</w:t>
            </w:r>
          </w:p>
        </w:tc>
        <w:tc>
          <w:tcPr>
            <w:tcW w:w="4043" w:type="dxa"/>
          </w:tcPr>
          <w:p w14:paraId="11622460" w14:textId="77777777" w:rsidR="002A41AC" w:rsidRPr="0066750A" w:rsidRDefault="002A41AC" w:rsidP="00964227">
            <w:pPr>
              <w:spacing w:after="0"/>
              <w:rPr>
                <w:rFonts w:cstheme="minorHAnsi"/>
                <w:b/>
                <w:bCs/>
                <w:i/>
                <w:iCs/>
              </w:rPr>
            </w:pPr>
            <w:r w:rsidRPr="0066750A">
              <w:rPr>
                <w:rFonts w:cstheme="minorHAnsi"/>
                <w:b/>
                <w:bCs/>
                <w:i/>
                <w:iCs/>
              </w:rPr>
              <w:t>20221207:</w:t>
            </w:r>
          </w:p>
          <w:p w14:paraId="7D1A2C98"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702DCC7C" w14:textId="50DF7B28"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A party responsible for administrating Meter characteristics and making these Meter characteristics available for entitled parties.</w:t>
            </w:r>
          </w:p>
        </w:tc>
      </w:tr>
      <w:tr w:rsidR="002A41AC" w:rsidRPr="0066750A" w14:paraId="0CD1E323" w14:textId="77777777" w:rsidTr="00F600E4">
        <w:trPr>
          <w:cantSplit/>
          <w:tblCellSpacing w:w="15" w:type="dxa"/>
        </w:trPr>
        <w:tc>
          <w:tcPr>
            <w:tcW w:w="556" w:type="dxa"/>
            <w:vAlign w:val="center"/>
            <w:hideMark/>
          </w:tcPr>
          <w:p w14:paraId="3BE5C584" w14:textId="77777777" w:rsidR="002A41AC" w:rsidRPr="0066750A" w:rsidRDefault="002A41AC" w:rsidP="00964227">
            <w:pPr>
              <w:rPr>
                <w:rFonts w:cstheme="minorHAnsi"/>
              </w:rPr>
            </w:pPr>
            <w:r w:rsidRPr="0066750A">
              <w:rPr>
                <w:rFonts w:cstheme="minorHAnsi"/>
              </w:rPr>
              <w:t>Role</w:t>
            </w:r>
          </w:p>
        </w:tc>
        <w:tc>
          <w:tcPr>
            <w:tcW w:w="1518" w:type="dxa"/>
            <w:vAlign w:val="center"/>
          </w:tcPr>
          <w:p w14:paraId="78D7351D" w14:textId="77777777" w:rsidR="002A41AC" w:rsidRPr="0066750A" w:rsidRDefault="002A41AC" w:rsidP="00964227">
            <w:pPr>
              <w:rPr>
                <w:rFonts w:cstheme="minorHAnsi"/>
              </w:rPr>
            </w:pPr>
            <w:r w:rsidRPr="0066750A">
              <w:rPr>
                <w:rFonts w:cstheme="minorHAnsi"/>
              </w:rPr>
              <w:t>Meter Operator</w:t>
            </w:r>
          </w:p>
        </w:tc>
        <w:tc>
          <w:tcPr>
            <w:tcW w:w="3912" w:type="dxa"/>
            <w:vAlign w:val="center"/>
          </w:tcPr>
          <w:p w14:paraId="731D8368" w14:textId="77777777" w:rsidR="002A41AC" w:rsidRPr="0066750A" w:rsidRDefault="002A41AC" w:rsidP="00964227">
            <w:pPr>
              <w:rPr>
                <w:rFonts w:cstheme="minorHAnsi"/>
              </w:rPr>
            </w:pPr>
            <w:r w:rsidRPr="0066750A">
              <w:rPr>
                <w:rFonts w:cstheme="minorHAnsi"/>
              </w:rPr>
              <w:t>A party responsible for installing, maintaining, testing, certifying and decommissioning physical meters.</w:t>
            </w:r>
          </w:p>
        </w:tc>
        <w:tc>
          <w:tcPr>
            <w:tcW w:w="4043" w:type="dxa"/>
          </w:tcPr>
          <w:p w14:paraId="4E471FF2" w14:textId="77777777" w:rsidR="002A41AC" w:rsidRPr="0066750A" w:rsidRDefault="002A41AC" w:rsidP="00964227">
            <w:pPr>
              <w:spacing w:after="0"/>
              <w:rPr>
                <w:rFonts w:cstheme="minorHAnsi"/>
                <w:b/>
                <w:bCs/>
                <w:i/>
                <w:iCs/>
              </w:rPr>
            </w:pPr>
            <w:r w:rsidRPr="0066750A">
              <w:rPr>
                <w:rFonts w:cstheme="minorHAnsi"/>
                <w:b/>
                <w:bCs/>
                <w:i/>
                <w:iCs/>
              </w:rPr>
              <w:t>20230116:</w:t>
            </w:r>
          </w:p>
          <w:p w14:paraId="19A167CD"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6017D1A0" w14:textId="53B933D4"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A party responsible for installing, maintaining, testing, certifying and decommissioning physical meters</w:t>
            </w:r>
            <w:r w:rsidR="008F2E80" w:rsidRPr="0066750A">
              <w:rPr>
                <w:rFonts w:asciiTheme="minorHAnsi" w:hAnsiTheme="minorHAnsi"/>
                <w:i/>
                <w:iCs/>
              </w:rPr>
              <w:t xml:space="preserve"> </w:t>
            </w:r>
            <w:r w:rsidRPr="0066750A">
              <w:rPr>
                <w:rFonts w:asciiTheme="minorHAnsi" w:hAnsiTheme="minorHAnsi"/>
                <w:i/>
                <w:iCs/>
                <w:color w:val="C00000"/>
              </w:rPr>
              <w:t>at</w:t>
            </w:r>
            <w:r w:rsidRPr="0066750A">
              <w:rPr>
                <w:rFonts w:asciiTheme="minorHAnsi" w:hAnsiTheme="minorHAnsi"/>
              </w:rPr>
              <w:t xml:space="preserve"> </w:t>
            </w:r>
            <w:r w:rsidRPr="0066750A">
              <w:rPr>
                <w:rFonts w:asciiTheme="minorHAnsi" w:hAnsiTheme="minorHAnsi"/>
                <w:i/>
                <w:iCs/>
                <w:color w:val="C00000"/>
              </w:rPr>
              <w:t>Metering Points</w:t>
            </w:r>
            <w:r w:rsidRPr="0066750A">
              <w:rPr>
                <w:rFonts w:asciiTheme="minorHAnsi" w:hAnsiTheme="minorHAnsi"/>
              </w:rPr>
              <w:t>.</w:t>
            </w:r>
          </w:p>
        </w:tc>
      </w:tr>
      <w:tr w:rsidR="002A41AC" w:rsidRPr="0066750A" w14:paraId="2F71460E" w14:textId="77777777" w:rsidTr="00F600E4">
        <w:trPr>
          <w:tblCellSpacing w:w="15" w:type="dxa"/>
        </w:trPr>
        <w:tc>
          <w:tcPr>
            <w:tcW w:w="556" w:type="dxa"/>
            <w:vAlign w:val="center"/>
          </w:tcPr>
          <w:p w14:paraId="6B035A6D" w14:textId="77777777" w:rsidR="002A41AC" w:rsidRPr="0066750A" w:rsidRDefault="002A41AC" w:rsidP="00964227">
            <w:pPr>
              <w:rPr>
                <w:rFonts w:cstheme="minorHAnsi"/>
              </w:rPr>
            </w:pPr>
            <w:r w:rsidRPr="0066750A">
              <w:rPr>
                <w:rFonts w:cstheme="minorHAnsi"/>
              </w:rPr>
              <w:t>Role</w:t>
            </w:r>
          </w:p>
        </w:tc>
        <w:tc>
          <w:tcPr>
            <w:tcW w:w="1518" w:type="dxa"/>
            <w:vAlign w:val="center"/>
          </w:tcPr>
          <w:p w14:paraId="7AB107F2" w14:textId="77777777" w:rsidR="002A41AC" w:rsidRPr="0066750A" w:rsidRDefault="002A41AC" w:rsidP="00964227">
            <w:pPr>
              <w:rPr>
                <w:rFonts w:cstheme="minorHAnsi"/>
              </w:rPr>
            </w:pPr>
            <w:r w:rsidRPr="0066750A">
              <w:rPr>
                <w:rFonts w:cstheme="minorHAnsi"/>
              </w:rPr>
              <w:t>Metered Data Administrator</w:t>
            </w:r>
          </w:p>
        </w:tc>
        <w:tc>
          <w:tcPr>
            <w:tcW w:w="3912" w:type="dxa"/>
            <w:vAlign w:val="center"/>
          </w:tcPr>
          <w:p w14:paraId="748AD4F5" w14:textId="77777777" w:rsidR="002A41AC" w:rsidRPr="0066750A" w:rsidRDefault="002A41AC" w:rsidP="00964227">
            <w:pPr>
              <w:rPr>
                <w:rFonts w:cstheme="minorHAnsi"/>
              </w:rPr>
            </w:pPr>
            <w:r w:rsidRPr="0066750A">
              <w:rPr>
                <w:rFonts w:cstheme="minorHAnsi"/>
              </w:rPr>
              <w:t>A party responsible for storing and distributing validated measured data.</w:t>
            </w:r>
          </w:p>
        </w:tc>
        <w:tc>
          <w:tcPr>
            <w:tcW w:w="4043" w:type="dxa"/>
          </w:tcPr>
          <w:p w14:paraId="0D18B990" w14:textId="77777777" w:rsidR="002A41AC" w:rsidRPr="0066750A" w:rsidRDefault="002A41AC" w:rsidP="00964227">
            <w:pPr>
              <w:spacing w:after="0"/>
              <w:rPr>
                <w:rFonts w:cstheme="minorHAnsi"/>
                <w:b/>
                <w:bCs/>
                <w:i/>
                <w:iCs/>
              </w:rPr>
            </w:pPr>
            <w:r w:rsidRPr="0066750A">
              <w:rPr>
                <w:rFonts w:cstheme="minorHAnsi"/>
                <w:b/>
                <w:bCs/>
                <w:i/>
                <w:iCs/>
              </w:rPr>
              <w:t>20221207:</w:t>
            </w:r>
          </w:p>
          <w:p w14:paraId="089374D9"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1BF670C4" w14:textId="278A45DF"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A party responsible for storing validated measured data and making these validated measured data available for entitled parties.</w:t>
            </w:r>
          </w:p>
          <w:p w14:paraId="5850D110" w14:textId="77777777"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b/>
                <w:i/>
                <w:iCs/>
              </w:rPr>
              <w:t>Additional information:</w:t>
            </w:r>
            <w:r w:rsidRPr="0066750A">
              <w:rPr>
                <w:rFonts w:asciiTheme="minorHAnsi" w:hAnsiTheme="minorHAnsi"/>
                <w:b/>
                <w:i/>
                <w:iCs/>
              </w:rPr>
              <w:br/>
            </w:r>
            <w:r w:rsidRPr="0066750A">
              <w:rPr>
                <w:rFonts w:asciiTheme="minorHAnsi" w:hAnsiTheme="minorHAnsi"/>
                <w:i/>
                <w:iCs/>
              </w:rPr>
              <w:t xml:space="preserve">The Metered Data Administrator is responsible for </w:t>
            </w:r>
            <w:r w:rsidR="0071795C" w:rsidRPr="0066750A">
              <w:rPr>
                <w:rFonts w:asciiTheme="minorHAnsi" w:hAnsiTheme="minorHAnsi"/>
                <w:i/>
                <w:iCs/>
              </w:rPr>
              <w:t xml:space="preserve">storing </w:t>
            </w:r>
            <w:r w:rsidRPr="0066750A">
              <w:rPr>
                <w:rFonts w:asciiTheme="minorHAnsi" w:hAnsiTheme="minorHAnsi"/>
                <w:i/>
                <w:iCs/>
              </w:rPr>
              <w:t>the history of measured data for a Metering Point.</w:t>
            </w:r>
          </w:p>
        </w:tc>
      </w:tr>
      <w:tr w:rsidR="002A41AC" w:rsidRPr="0066750A" w14:paraId="23425D0A" w14:textId="77777777" w:rsidTr="00F600E4">
        <w:trPr>
          <w:cantSplit/>
          <w:tblCellSpacing w:w="15" w:type="dxa"/>
        </w:trPr>
        <w:tc>
          <w:tcPr>
            <w:tcW w:w="556" w:type="dxa"/>
            <w:vAlign w:val="center"/>
          </w:tcPr>
          <w:p w14:paraId="27994880"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E7F1FEE" w14:textId="77777777" w:rsidR="002A41AC" w:rsidRPr="0066750A" w:rsidRDefault="002A41AC" w:rsidP="00964227">
            <w:pPr>
              <w:rPr>
                <w:rFonts w:cstheme="minorHAnsi"/>
              </w:rPr>
            </w:pPr>
            <w:r w:rsidRPr="0066750A">
              <w:rPr>
                <w:rFonts w:cstheme="minorHAnsi"/>
              </w:rPr>
              <w:t>Metered Data Aggregator</w:t>
            </w:r>
          </w:p>
        </w:tc>
        <w:tc>
          <w:tcPr>
            <w:tcW w:w="3912" w:type="dxa"/>
            <w:vAlign w:val="center"/>
          </w:tcPr>
          <w:p w14:paraId="2DF8C79A" w14:textId="77777777" w:rsidR="002A41AC" w:rsidRPr="0066750A" w:rsidDel="00AE7482" w:rsidRDefault="002A41AC" w:rsidP="00964227">
            <w:pPr>
              <w:rPr>
                <w:rFonts w:cstheme="minorHAnsi"/>
              </w:rPr>
            </w:pPr>
            <w:r w:rsidRPr="0066750A">
              <w:rPr>
                <w:rFonts w:cstheme="minorHAnsi"/>
              </w:rPr>
              <w:t>A party responsible for the establishment and qualification of measured data from the Metered Data Responsible. This data is aggregated according to a defined set of market rules.</w:t>
            </w:r>
          </w:p>
        </w:tc>
        <w:tc>
          <w:tcPr>
            <w:tcW w:w="4043" w:type="dxa"/>
          </w:tcPr>
          <w:p w14:paraId="3C0E2621" w14:textId="77777777" w:rsidR="002A41AC" w:rsidRPr="0066750A" w:rsidRDefault="002A41AC" w:rsidP="00964227">
            <w:pPr>
              <w:spacing w:after="0"/>
              <w:rPr>
                <w:rFonts w:cstheme="minorHAnsi"/>
                <w:b/>
                <w:bCs/>
                <w:i/>
                <w:iCs/>
              </w:rPr>
            </w:pPr>
            <w:r w:rsidRPr="0066750A">
              <w:rPr>
                <w:rFonts w:cstheme="minorHAnsi"/>
                <w:b/>
                <w:bCs/>
                <w:i/>
                <w:iCs/>
              </w:rPr>
              <w:t>20221207:</w:t>
            </w:r>
          </w:p>
          <w:p w14:paraId="05D988E6"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056588EB" w14:textId="4DC98481"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 xml:space="preserve">A party responsible for aggregating validated measured data for an area </w:t>
            </w:r>
            <w:r w:rsidRPr="0066750A">
              <w:rPr>
                <w:rFonts w:asciiTheme="minorHAnsi" w:hAnsiTheme="minorHAnsi"/>
              </w:rPr>
              <w:t xml:space="preserve">according to a defined set of market rules </w:t>
            </w:r>
            <w:r w:rsidRPr="0066750A">
              <w:rPr>
                <w:rFonts w:asciiTheme="minorHAnsi" w:hAnsiTheme="minorHAnsi"/>
                <w:i/>
                <w:iCs/>
              </w:rPr>
              <w:t>and making these available for entitled parties.</w:t>
            </w:r>
          </w:p>
        </w:tc>
      </w:tr>
      <w:tr w:rsidR="002A41AC" w:rsidRPr="0066750A" w14:paraId="43C5CDC0" w14:textId="77777777" w:rsidTr="00F600E4">
        <w:trPr>
          <w:cantSplit/>
          <w:tblCellSpacing w:w="15" w:type="dxa"/>
        </w:trPr>
        <w:tc>
          <w:tcPr>
            <w:tcW w:w="556" w:type="dxa"/>
            <w:vAlign w:val="center"/>
          </w:tcPr>
          <w:p w14:paraId="43F80EEA" w14:textId="77777777" w:rsidR="002A41AC" w:rsidRPr="0066750A" w:rsidRDefault="002A41AC" w:rsidP="00964227">
            <w:pPr>
              <w:rPr>
                <w:rFonts w:cstheme="minorHAnsi"/>
              </w:rPr>
            </w:pPr>
            <w:r w:rsidRPr="0066750A">
              <w:rPr>
                <w:rFonts w:cstheme="minorHAnsi"/>
              </w:rPr>
              <w:t>Role</w:t>
            </w:r>
          </w:p>
        </w:tc>
        <w:tc>
          <w:tcPr>
            <w:tcW w:w="1518" w:type="dxa"/>
            <w:vAlign w:val="center"/>
          </w:tcPr>
          <w:p w14:paraId="1E610F63" w14:textId="77777777" w:rsidR="002A41AC" w:rsidRPr="0066750A" w:rsidRDefault="002A41AC" w:rsidP="00964227">
            <w:pPr>
              <w:rPr>
                <w:rFonts w:cstheme="minorHAnsi"/>
              </w:rPr>
            </w:pPr>
            <w:r w:rsidRPr="0066750A">
              <w:rPr>
                <w:rFonts w:cstheme="minorHAnsi"/>
              </w:rPr>
              <w:t>Metered Data Collector</w:t>
            </w:r>
          </w:p>
        </w:tc>
        <w:tc>
          <w:tcPr>
            <w:tcW w:w="3912" w:type="dxa"/>
            <w:vAlign w:val="center"/>
          </w:tcPr>
          <w:p w14:paraId="0C97FD6B" w14:textId="77777777" w:rsidR="002A41AC" w:rsidRPr="0066750A" w:rsidDel="00AE7482" w:rsidRDefault="002A41AC" w:rsidP="00964227">
            <w:pPr>
              <w:rPr>
                <w:rFonts w:cstheme="minorHAnsi"/>
              </w:rPr>
            </w:pPr>
            <w:r w:rsidRPr="0066750A">
              <w:rPr>
                <w:rFonts w:cstheme="minorHAnsi"/>
              </w:rPr>
              <w:t>A party responsible for meter reading and quality control of the reading.</w:t>
            </w:r>
          </w:p>
        </w:tc>
        <w:tc>
          <w:tcPr>
            <w:tcW w:w="4043" w:type="dxa"/>
          </w:tcPr>
          <w:p w14:paraId="3DE1AB0B" w14:textId="77777777" w:rsidR="002A41AC" w:rsidRPr="0066750A" w:rsidRDefault="002A41AC" w:rsidP="00964227">
            <w:pPr>
              <w:spacing w:after="0"/>
              <w:rPr>
                <w:rFonts w:cstheme="minorHAnsi"/>
                <w:b/>
                <w:bCs/>
                <w:i/>
                <w:iCs/>
              </w:rPr>
            </w:pPr>
            <w:r w:rsidRPr="0066750A">
              <w:rPr>
                <w:rFonts w:cstheme="minorHAnsi"/>
                <w:b/>
                <w:bCs/>
                <w:i/>
                <w:iCs/>
              </w:rPr>
              <w:t>20221212:</w:t>
            </w:r>
          </w:p>
          <w:p w14:paraId="156B8F2E"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5A608471" w14:textId="3C8C99AC"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A party responsible for reading a meter, including quality control of the reading and making these readings available for entitled parties.</w:t>
            </w:r>
          </w:p>
        </w:tc>
      </w:tr>
      <w:tr w:rsidR="002A41AC" w:rsidRPr="0066750A" w14:paraId="3ED086D8" w14:textId="77777777" w:rsidTr="00F600E4">
        <w:trPr>
          <w:cantSplit/>
          <w:tblCellSpacing w:w="15" w:type="dxa"/>
        </w:trPr>
        <w:tc>
          <w:tcPr>
            <w:tcW w:w="556" w:type="dxa"/>
            <w:vAlign w:val="center"/>
          </w:tcPr>
          <w:p w14:paraId="16730B68"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5689414A" w14:textId="77777777" w:rsidR="002A41AC" w:rsidRPr="0066750A" w:rsidRDefault="002A41AC" w:rsidP="00964227">
            <w:pPr>
              <w:rPr>
                <w:rFonts w:cstheme="minorHAnsi"/>
              </w:rPr>
            </w:pPr>
            <w:r w:rsidRPr="0066750A">
              <w:rPr>
                <w:rFonts w:cstheme="minorHAnsi"/>
              </w:rPr>
              <w:t>Metered Data Responsible</w:t>
            </w:r>
          </w:p>
        </w:tc>
        <w:tc>
          <w:tcPr>
            <w:tcW w:w="3912" w:type="dxa"/>
            <w:vAlign w:val="center"/>
          </w:tcPr>
          <w:p w14:paraId="348C80C6" w14:textId="77777777" w:rsidR="002A41AC" w:rsidRPr="0066750A" w:rsidRDefault="002A41AC" w:rsidP="00964227">
            <w:pPr>
              <w:rPr>
                <w:rFonts w:cstheme="minorHAnsi"/>
              </w:rPr>
            </w:pPr>
            <w:r w:rsidRPr="0066750A">
              <w:rPr>
                <w:rFonts w:cstheme="minorHAnsi"/>
              </w:rPr>
              <w:t>A party responsible for the establishment and validation of measured data based on the collected data received from the Metered Data Collector. The party is responsible for the history of metered data for a Metering Point.</w:t>
            </w:r>
          </w:p>
          <w:p w14:paraId="4592DA98" w14:textId="77777777" w:rsidR="0092250F" w:rsidRPr="0066750A" w:rsidRDefault="0092250F" w:rsidP="0092250F">
            <w:pPr>
              <w:rPr>
                <w:rFonts w:cstheme="minorHAnsi"/>
              </w:rPr>
            </w:pPr>
          </w:p>
          <w:p w14:paraId="728323E1" w14:textId="77777777" w:rsidR="0092250F" w:rsidRPr="0066750A" w:rsidRDefault="0092250F" w:rsidP="0092250F">
            <w:pPr>
              <w:rPr>
                <w:rFonts w:cstheme="minorHAnsi"/>
              </w:rPr>
            </w:pPr>
          </w:p>
          <w:p w14:paraId="3DB70C9D" w14:textId="77777777" w:rsidR="0092250F" w:rsidRPr="0066750A" w:rsidRDefault="0092250F" w:rsidP="0092250F">
            <w:pPr>
              <w:rPr>
                <w:rFonts w:cstheme="minorHAnsi"/>
              </w:rPr>
            </w:pPr>
          </w:p>
          <w:p w14:paraId="6939DA8E" w14:textId="77777777" w:rsidR="0092250F" w:rsidRPr="0066750A" w:rsidRDefault="0092250F" w:rsidP="0092250F">
            <w:pPr>
              <w:rPr>
                <w:rFonts w:cstheme="minorHAnsi"/>
              </w:rPr>
            </w:pPr>
          </w:p>
          <w:p w14:paraId="04EF09EF" w14:textId="77777777" w:rsidR="0092250F" w:rsidRPr="0066750A" w:rsidRDefault="0092250F" w:rsidP="0092250F">
            <w:pPr>
              <w:rPr>
                <w:rFonts w:cstheme="minorHAnsi"/>
              </w:rPr>
            </w:pPr>
          </w:p>
          <w:p w14:paraId="6A9A89AC" w14:textId="6B82687A" w:rsidR="0092250F" w:rsidRPr="0066750A" w:rsidDel="00AE7482" w:rsidRDefault="0092250F" w:rsidP="0092250F">
            <w:pPr>
              <w:rPr>
                <w:rFonts w:cstheme="minorHAnsi"/>
              </w:rPr>
            </w:pPr>
          </w:p>
        </w:tc>
        <w:tc>
          <w:tcPr>
            <w:tcW w:w="4043" w:type="dxa"/>
          </w:tcPr>
          <w:p w14:paraId="45A08ADD" w14:textId="77777777" w:rsidR="002A41AC" w:rsidRPr="0066750A" w:rsidRDefault="002A41AC" w:rsidP="00964227">
            <w:pPr>
              <w:spacing w:after="0"/>
              <w:rPr>
                <w:rFonts w:cstheme="minorHAnsi"/>
                <w:b/>
                <w:bCs/>
                <w:i/>
                <w:iCs/>
              </w:rPr>
            </w:pPr>
            <w:r w:rsidRPr="0066750A">
              <w:rPr>
                <w:rFonts w:cstheme="minorHAnsi"/>
                <w:b/>
                <w:bCs/>
                <w:i/>
                <w:iCs/>
              </w:rPr>
              <w:t>20221207:</w:t>
            </w:r>
          </w:p>
          <w:p w14:paraId="3AFC1208"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734C9D43" w14:textId="4B6E6308"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 xml:space="preserve">A party responsible for the validation of measured data, either received from the Metered Data Collector or estimated, and making these validated measured data available for entitled parties. </w:t>
            </w:r>
          </w:p>
          <w:p w14:paraId="5D3A03CE" w14:textId="77777777" w:rsidR="002A41AC" w:rsidRPr="0066750A" w:rsidRDefault="002A41AC" w:rsidP="00964227">
            <w:pPr>
              <w:pStyle w:val="ListParagraph"/>
              <w:numPr>
                <w:ilvl w:val="0"/>
                <w:numId w:val="0"/>
              </w:numPr>
              <w:spacing w:after="0"/>
              <w:ind w:left="386"/>
              <w:rPr>
                <w:rFonts w:asciiTheme="minorHAnsi" w:hAnsiTheme="minorHAnsi"/>
                <w:b/>
                <w:bCs w:val="0"/>
                <w:i/>
                <w:iCs/>
              </w:rPr>
            </w:pPr>
            <w:r w:rsidRPr="0066750A">
              <w:rPr>
                <w:rFonts w:asciiTheme="minorHAnsi" w:hAnsiTheme="minorHAnsi"/>
                <w:b/>
                <w:i/>
                <w:iCs/>
              </w:rPr>
              <w:t>Additional information:</w:t>
            </w:r>
          </w:p>
          <w:p w14:paraId="15B0E867" w14:textId="72B5D84C"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The Metered Data Responsible is responsible for determining the volume of the consumed and/or produced energy at a Metering Point</w:t>
            </w:r>
            <w:r w:rsidR="0092250F" w:rsidRPr="0066750A">
              <w:rPr>
                <w:rFonts w:asciiTheme="minorHAnsi" w:hAnsiTheme="minorHAnsi"/>
                <w:i/>
                <w:iCs/>
              </w:rPr>
              <w:t xml:space="preserve">, including update of </w:t>
            </w:r>
            <w:r w:rsidR="0071795C" w:rsidRPr="0066750A">
              <w:rPr>
                <w:rFonts w:asciiTheme="minorHAnsi" w:hAnsiTheme="minorHAnsi"/>
                <w:i/>
                <w:iCs/>
              </w:rPr>
              <w:t xml:space="preserve">historic </w:t>
            </w:r>
            <w:r w:rsidR="0092250F" w:rsidRPr="0066750A">
              <w:rPr>
                <w:rFonts w:asciiTheme="minorHAnsi" w:hAnsiTheme="minorHAnsi"/>
                <w:i/>
                <w:iCs/>
              </w:rPr>
              <w:t>measured</w:t>
            </w:r>
            <w:r w:rsidR="0071795C" w:rsidRPr="0066750A">
              <w:rPr>
                <w:rFonts w:asciiTheme="minorHAnsi" w:hAnsiTheme="minorHAnsi"/>
                <w:i/>
                <w:iCs/>
              </w:rPr>
              <w:t xml:space="preserve"> data for a Metering Point.</w:t>
            </w:r>
          </w:p>
        </w:tc>
      </w:tr>
      <w:tr w:rsidR="002A41AC" w:rsidRPr="0066750A" w14:paraId="619E6E77" w14:textId="77777777" w:rsidTr="00F600E4">
        <w:trPr>
          <w:cantSplit/>
          <w:tblCellSpacing w:w="15" w:type="dxa"/>
        </w:trPr>
        <w:tc>
          <w:tcPr>
            <w:tcW w:w="556" w:type="dxa"/>
            <w:vAlign w:val="center"/>
          </w:tcPr>
          <w:p w14:paraId="60D1D49F"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CD6D4E4" w14:textId="77777777" w:rsidR="002A41AC" w:rsidRPr="0066750A" w:rsidRDefault="002A41AC" w:rsidP="00964227">
            <w:pPr>
              <w:rPr>
                <w:rFonts w:cstheme="minorHAnsi"/>
              </w:rPr>
            </w:pPr>
            <w:r w:rsidRPr="0066750A">
              <w:rPr>
                <w:rFonts w:cstheme="minorHAnsi"/>
              </w:rPr>
              <w:t>Metering Point Administrator</w:t>
            </w:r>
          </w:p>
        </w:tc>
        <w:tc>
          <w:tcPr>
            <w:tcW w:w="3912" w:type="dxa"/>
            <w:vAlign w:val="center"/>
          </w:tcPr>
          <w:p w14:paraId="08B215B5" w14:textId="77777777" w:rsidR="002A41AC" w:rsidRPr="0066750A" w:rsidDel="00AE7482" w:rsidRDefault="002A41AC" w:rsidP="00964227">
            <w:pPr>
              <w:rPr>
                <w:rFonts w:cstheme="minorHAnsi"/>
              </w:rPr>
            </w:pPr>
            <w:r w:rsidRPr="0066750A">
              <w:rPr>
                <w:rFonts w:cstheme="minorHAnsi"/>
              </w:rPr>
              <w:t>A party responsible for administrating and making available the Metering Point characteristics, including registering the parties linked to the Metering Point.</w:t>
            </w:r>
          </w:p>
        </w:tc>
        <w:tc>
          <w:tcPr>
            <w:tcW w:w="4043" w:type="dxa"/>
          </w:tcPr>
          <w:p w14:paraId="32F7835E" w14:textId="77777777" w:rsidR="002A41AC" w:rsidRPr="0066750A" w:rsidRDefault="002A41AC" w:rsidP="00964227">
            <w:pPr>
              <w:spacing w:after="0"/>
              <w:rPr>
                <w:rFonts w:cstheme="minorHAnsi"/>
                <w:b/>
                <w:bCs/>
                <w:i/>
                <w:iCs/>
              </w:rPr>
            </w:pPr>
            <w:r w:rsidRPr="0066750A">
              <w:rPr>
                <w:rFonts w:cstheme="minorHAnsi"/>
                <w:b/>
                <w:bCs/>
                <w:i/>
                <w:iCs/>
              </w:rPr>
              <w:t>20221207:</w:t>
            </w:r>
          </w:p>
          <w:p w14:paraId="5C7772FB"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6D82EC1C" w14:textId="67536BA1"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A party responsible for administrating Metering Point characteristics and making these characteristics available for entitled parties.</w:t>
            </w:r>
          </w:p>
          <w:p w14:paraId="52A8E1B6" w14:textId="77777777" w:rsidR="002A41AC" w:rsidRPr="0066750A" w:rsidRDefault="002A41AC" w:rsidP="00964227">
            <w:pPr>
              <w:pStyle w:val="ListParagraph"/>
              <w:numPr>
                <w:ilvl w:val="0"/>
                <w:numId w:val="0"/>
              </w:numPr>
              <w:spacing w:after="0"/>
              <w:ind w:left="386"/>
              <w:rPr>
                <w:rFonts w:asciiTheme="minorHAnsi" w:hAnsiTheme="minorHAnsi"/>
                <w:b/>
                <w:bCs w:val="0"/>
                <w:i/>
                <w:iCs/>
              </w:rPr>
            </w:pPr>
            <w:r w:rsidRPr="0066750A">
              <w:rPr>
                <w:rFonts w:asciiTheme="minorHAnsi" w:hAnsiTheme="minorHAnsi"/>
                <w:b/>
                <w:i/>
                <w:iCs/>
              </w:rPr>
              <w:t>Additional information:</w:t>
            </w:r>
          </w:p>
          <w:p w14:paraId="33E7E08E" w14:textId="77777777"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The Metering Point Administrator is responsible for registering the parties linked to a Metering Point.</w:t>
            </w:r>
          </w:p>
        </w:tc>
      </w:tr>
      <w:tr w:rsidR="002A41AC" w:rsidRPr="0066750A" w14:paraId="739554CF" w14:textId="77777777" w:rsidTr="00F600E4">
        <w:trPr>
          <w:cantSplit/>
          <w:tblCellSpacing w:w="15" w:type="dxa"/>
        </w:trPr>
        <w:tc>
          <w:tcPr>
            <w:tcW w:w="556" w:type="dxa"/>
            <w:vAlign w:val="center"/>
          </w:tcPr>
          <w:p w14:paraId="1600C4FE"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691FE1E" w14:textId="77777777" w:rsidR="002A41AC" w:rsidRPr="0066750A" w:rsidRDefault="002A41AC" w:rsidP="00964227">
            <w:pPr>
              <w:rPr>
                <w:rFonts w:cstheme="minorHAnsi"/>
              </w:rPr>
            </w:pPr>
            <w:r w:rsidRPr="0066750A">
              <w:rPr>
                <w:rFonts w:cstheme="minorHAnsi"/>
              </w:rPr>
              <w:t>Model Merging Agent</w:t>
            </w:r>
          </w:p>
        </w:tc>
        <w:tc>
          <w:tcPr>
            <w:tcW w:w="3912" w:type="dxa"/>
            <w:vAlign w:val="center"/>
          </w:tcPr>
          <w:p w14:paraId="19CEA76F" w14:textId="77777777" w:rsidR="002A41AC" w:rsidRPr="0066750A" w:rsidRDefault="002A41AC" w:rsidP="00964227">
            <w:pPr>
              <w:rPr>
                <w:rFonts w:cstheme="minorHAnsi"/>
              </w:rPr>
            </w:pPr>
            <w:r w:rsidRPr="0066750A">
              <w:rPr>
                <w:rFonts w:cstheme="minorHAnsi"/>
              </w:rPr>
              <w:t>A party responsible for establishing a merged model and ensuring its completeness, consistency and quality.</w:t>
            </w:r>
            <w:r w:rsidRPr="0066750A">
              <w:rPr>
                <w:rFonts w:cstheme="minorHAnsi"/>
              </w:rPr>
              <w:br/>
            </w:r>
            <w:r w:rsidRPr="0066750A">
              <w:rPr>
                <w:rFonts w:cstheme="minorHAnsi"/>
              </w:rPr>
              <w:br/>
            </w:r>
            <w:r w:rsidRPr="0066750A">
              <w:rPr>
                <w:rFonts w:cstheme="minorHAnsi"/>
                <w:b/>
              </w:rPr>
              <w:t>Additional information:</w:t>
            </w:r>
            <w:r w:rsidRPr="0066750A">
              <w:rPr>
                <w:rFonts w:cstheme="minorHAnsi"/>
              </w:rPr>
              <w:br/>
              <w:t>The definition is based on CGM BP IG.</w:t>
            </w:r>
          </w:p>
        </w:tc>
        <w:tc>
          <w:tcPr>
            <w:tcW w:w="4043" w:type="dxa"/>
          </w:tcPr>
          <w:p w14:paraId="27F9FB55" w14:textId="77777777" w:rsidR="002A41AC" w:rsidRPr="0066750A" w:rsidRDefault="002A41AC" w:rsidP="00964227">
            <w:pPr>
              <w:spacing w:after="0"/>
              <w:rPr>
                <w:rFonts w:cstheme="minorHAnsi"/>
                <w:b/>
                <w:bCs/>
                <w:i/>
                <w:iCs/>
              </w:rPr>
            </w:pPr>
            <w:r w:rsidRPr="0066750A">
              <w:rPr>
                <w:rFonts w:cstheme="minorHAnsi"/>
                <w:b/>
                <w:bCs/>
                <w:i/>
                <w:iCs/>
              </w:rPr>
              <w:t>20221207:</w:t>
            </w:r>
          </w:p>
          <w:p w14:paraId="3C2BB396"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 xml:space="preserve">Rename “model” to “grid model” both in the name and definition. This makes it easier for non CGM experts to know what the role does. </w:t>
            </w:r>
          </w:p>
        </w:tc>
      </w:tr>
      <w:tr w:rsidR="002A41AC" w:rsidRPr="0066750A" w14:paraId="315D6D59" w14:textId="77777777" w:rsidTr="00F600E4">
        <w:trPr>
          <w:cantSplit/>
          <w:tblCellSpacing w:w="15" w:type="dxa"/>
        </w:trPr>
        <w:tc>
          <w:tcPr>
            <w:tcW w:w="556" w:type="dxa"/>
            <w:vAlign w:val="center"/>
          </w:tcPr>
          <w:p w14:paraId="42E388CD" w14:textId="77777777" w:rsidR="002A41AC" w:rsidRPr="0066750A" w:rsidRDefault="002A41AC" w:rsidP="00964227">
            <w:pPr>
              <w:rPr>
                <w:rFonts w:cstheme="minorHAnsi"/>
              </w:rPr>
            </w:pPr>
            <w:r w:rsidRPr="0066750A">
              <w:rPr>
                <w:rFonts w:cstheme="minorHAnsi"/>
              </w:rPr>
              <w:t>Role</w:t>
            </w:r>
          </w:p>
        </w:tc>
        <w:tc>
          <w:tcPr>
            <w:tcW w:w="1518" w:type="dxa"/>
            <w:vAlign w:val="center"/>
          </w:tcPr>
          <w:p w14:paraId="2E040733" w14:textId="77777777" w:rsidR="002A41AC" w:rsidRPr="0066750A" w:rsidRDefault="002A41AC" w:rsidP="00964227">
            <w:pPr>
              <w:rPr>
                <w:rFonts w:cstheme="minorHAnsi"/>
              </w:rPr>
            </w:pPr>
            <w:r w:rsidRPr="0066750A">
              <w:rPr>
                <w:rFonts w:cstheme="minorHAnsi"/>
              </w:rPr>
              <w:t>Modelling Authority</w:t>
            </w:r>
          </w:p>
        </w:tc>
        <w:tc>
          <w:tcPr>
            <w:tcW w:w="3912" w:type="dxa"/>
            <w:vAlign w:val="center"/>
          </w:tcPr>
          <w:p w14:paraId="6B950A7D" w14:textId="77777777" w:rsidR="002A41AC" w:rsidRPr="0066750A" w:rsidRDefault="002A41AC" w:rsidP="00964227">
            <w:pPr>
              <w:rPr>
                <w:rFonts w:cstheme="minorHAnsi"/>
              </w:rPr>
            </w:pPr>
            <w:r w:rsidRPr="0066750A">
              <w:rPr>
                <w:rFonts w:cstheme="minorHAnsi"/>
              </w:rPr>
              <w:t>A party accountable for the sourcing, consistency and quality of one or more model datasets.</w:t>
            </w:r>
          </w:p>
        </w:tc>
        <w:tc>
          <w:tcPr>
            <w:tcW w:w="4043" w:type="dxa"/>
          </w:tcPr>
          <w:p w14:paraId="4FC04AE1" w14:textId="77777777" w:rsidR="002A41AC" w:rsidRPr="0066750A" w:rsidRDefault="002A41AC" w:rsidP="00964227">
            <w:pPr>
              <w:spacing w:after="0"/>
              <w:rPr>
                <w:rFonts w:cstheme="minorHAnsi"/>
                <w:b/>
                <w:bCs/>
                <w:i/>
                <w:iCs/>
              </w:rPr>
            </w:pPr>
            <w:r w:rsidRPr="0066750A">
              <w:rPr>
                <w:rFonts w:cstheme="minorHAnsi"/>
                <w:b/>
                <w:bCs/>
                <w:i/>
                <w:iCs/>
              </w:rPr>
              <w:t>20221207:</w:t>
            </w:r>
          </w:p>
          <w:p w14:paraId="1F05821E"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See previous comment.</w:t>
            </w:r>
          </w:p>
        </w:tc>
      </w:tr>
      <w:tr w:rsidR="002A41AC" w:rsidRPr="0066750A" w14:paraId="0F8D4E8E" w14:textId="77777777" w:rsidTr="00F600E4">
        <w:trPr>
          <w:cantSplit/>
          <w:tblCellSpacing w:w="15" w:type="dxa"/>
        </w:trPr>
        <w:tc>
          <w:tcPr>
            <w:tcW w:w="556" w:type="dxa"/>
            <w:vAlign w:val="center"/>
          </w:tcPr>
          <w:p w14:paraId="6838CEDD"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6664E4D3" w14:textId="77777777" w:rsidR="002A41AC" w:rsidRPr="0066750A" w:rsidRDefault="002A41AC" w:rsidP="00964227">
            <w:pPr>
              <w:rPr>
                <w:rFonts w:cstheme="minorHAnsi"/>
              </w:rPr>
            </w:pPr>
            <w:r w:rsidRPr="0066750A">
              <w:rPr>
                <w:rFonts w:cstheme="minorHAnsi"/>
              </w:rPr>
              <w:t>Nominated Electricity Market Operator</w:t>
            </w:r>
          </w:p>
        </w:tc>
        <w:tc>
          <w:tcPr>
            <w:tcW w:w="3912" w:type="dxa"/>
            <w:vAlign w:val="center"/>
          </w:tcPr>
          <w:p w14:paraId="47AB6C1C" w14:textId="77777777" w:rsidR="002A41AC" w:rsidRPr="0066750A" w:rsidRDefault="002A41AC" w:rsidP="00964227">
            <w:pPr>
              <w:rPr>
                <w:rFonts w:cstheme="minorHAnsi"/>
              </w:rPr>
            </w:pPr>
            <w:r w:rsidRPr="0066750A">
              <w:rPr>
                <w:rFonts w:cstheme="minorHAnsi"/>
              </w:rPr>
              <w:t>An entity designated by the competent authority to perform tasks related to single day-ahead or single intraday coupling.</w:t>
            </w:r>
          </w:p>
          <w:p w14:paraId="165F58DF" w14:textId="77777777" w:rsidR="002A41AC" w:rsidRPr="0066750A" w:rsidRDefault="002A41AC" w:rsidP="00964227">
            <w:pPr>
              <w:rPr>
                <w:rFonts w:cstheme="minorHAnsi"/>
              </w:rPr>
            </w:pPr>
            <w:r w:rsidRPr="0066750A">
              <w:rPr>
                <w:rFonts w:cstheme="minorHAnsi"/>
                <w:bCs/>
              </w:rPr>
              <w:t>Source:</w:t>
            </w:r>
            <w:r w:rsidRPr="0066750A">
              <w:rPr>
                <w:rFonts w:cstheme="minorHAnsi"/>
              </w:rPr>
              <w:t xml:space="preserve"> </w:t>
            </w:r>
            <w:hyperlink r:id="rId18" w:anchor="d1e351-24-1" w:history="1">
              <w:r w:rsidRPr="0066750A">
                <w:rPr>
                  <w:rStyle w:val="Hyperlink"/>
                  <w:rFonts w:cstheme="minorHAnsi"/>
                </w:rPr>
                <w:t>Commission Regulation (EU) 2015/1222 (CACM).</w:t>
              </w:r>
            </w:hyperlink>
          </w:p>
          <w:p w14:paraId="62E12FA9" w14:textId="77777777" w:rsidR="002A41AC" w:rsidRPr="0066750A" w:rsidRDefault="002A41AC" w:rsidP="00964227">
            <w:pPr>
              <w:rPr>
                <w:rFonts w:cstheme="minorHAnsi"/>
                <w:b/>
                <w:bCs/>
              </w:rPr>
            </w:pPr>
            <w:r w:rsidRPr="0066750A">
              <w:rPr>
                <w:rFonts w:cstheme="minorHAnsi"/>
                <w:b/>
                <w:bCs/>
              </w:rPr>
              <w:t>Additional Information:</w:t>
            </w:r>
          </w:p>
          <w:p w14:paraId="73EE5FA0" w14:textId="77777777" w:rsidR="002A41AC" w:rsidRPr="0066750A" w:rsidRDefault="002A41AC" w:rsidP="00964227">
            <w:pPr>
              <w:rPr>
                <w:rFonts w:cstheme="minorHAnsi"/>
              </w:rPr>
            </w:pPr>
            <w:r w:rsidRPr="0066750A">
              <w:rPr>
                <w:rFonts w:cstheme="minorHAnsi"/>
              </w:rPr>
              <w:t>A NEMO performs MCO (Market Coupling Operator) and CCP (Central Counter Party) functions.</w:t>
            </w:r>
          </w:p>
          <w:p w14:paraId="1AD77949" w14:textId="77777777" w:rsidR="002A41AC" w:rsidRPr="0066750A" w:rsidRDefault="002A41AC" w:rsidP="00964227">
            <w:pPr>
              <w:rPr>
                <w:rFonts w:cstheme="minorHAnsi"/>
              </w:rPr>
            </w:pPr>
            <w:r w:rsidRPr="0066750A">
              <w:rPr>
                <w:rFonts w:cstheme="minorHAnsi"/>
              </w:rPr>
              <w:t>A NEMO runs a power exchange related to day-ahead or intraday market.</w:t>
            </w:r>
          </w:p>
          <w:p w14:paraId="5754983F" w14:textId="77777777" w:rsidR="002A41AC" w:rsidRPr="0066750A" w:rsidDel="00AE7482" w:rsidRDefault="002A41AC" w:rsidP="00964227">
            <w:pPr>
              <w:rPr>
                <w:rFonts w:cstheme="minorHAnsi"/>
              </w:rPr>
            </w:pPr>
            <w:r w:rsidRPr="0066750A">
              <w:rPr>
                <w:rFonts w:cstheme="minorHAnsi"/>
              </w:rPr>
              <w:t>A NEMO is a type of Market Operator.</w:t>
            </w:r>
          </w:p>
        </w:tc>
        <w:tc>
          <w:tcPr>
            <w:tcW w:w="4043" w:type="dxa"/>
          </w:tcPr>
          <w:p w14:paraId="6361819A" w14:textId="77777777" w:rsidR="002A41AC" w:rsidRPr="0066750A" w:rsidRDefault="002A41AC" w:rsidP="00964227">
            <w:pPr>
              <w:spacing w:after="0"/>
              <w:rPr>
                <w:rFonts w:cstheme="minorHAnsi"/>
                <w:b/>
                <w:bCs/>
                <w:i/>
                <w:iCs/>
              </w:rPr>
            </w:pPr>
            <w:r w:rsidRPr="0066750A">
              <w:rPr>
                <w:rFonts w:cstheme="minorHAnsi"/>
                <w:b/>
                <w:bCs/>
                <w:i/>
                <w:iCs/>
              </w:rPr>
              <w:t>20221207:</w:t>
            </w:r>
          </w:p>
          <w:p w14:paraId="2EB5CD2F"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Rename “entity” to “party”.</w:t>
            </w:r>
          </w:p>
        </w:tc>
      </w:tr>
      <w:tr w:rsidR="002A41AC" w:rsidRPr="0066750A" w14:paraId="1295A7A2" w14:textId="77777777" w:rsidTr="00F600E4">
        <w:trPr>
          <w:cantSplit/>
          <w:tblCellSpacing w:w="15" w:type="dxa"/>
        </w:trPr>
        <w:tc>
          <w:tcPr>
            <w:tcW w:w="556" w:type="dxa"/>
            <w:vAlign w:val="center"/>
            <w:hideMark/>
          </w:tcPr>
          <w:p w14:paraId="3B0B6631"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F5C4004" w14:textId="77777777" w:rsidR="002A41AC" w:rsidRPr="0066750A" w:rsidRDefault="002A41AC" w:rsidP="00964227">
            <w:pPr>
              <w:rPr>
                <w:rFonts w:cstheme="minorHAnsi"/>
              </w:rPr>
            </w:pPr>
            <w:r w:rsidRPr="0066750A">
              <w:rPr>
                <w:rFonts w:cstheme="minorHAnsi"/>
              </w:rPr>
              <w:t>Nomination Validator</w:t>
            </w:r>
          </w:p>
        </w:tc>
        <w:tc>
          <w:tcPr>
            <w:tcW w:w="3912" w:type="dxa"/>
            <w:vAlign w:val="center"/>
          </w:tcPr>
          <w:p w14:paraId="5110A79A" w14:textId="77777777" w:rsidR="002A41AC" w:rsidRPr="0066750A" w:rsidRDefault="002A41AC" w:rsidP="00964227">
            <w:pPr>
              <w:rPr>
                <w:rFonts w:cstheme="minorHAnsi"/>
              </w:rPr>
            </w:pPr>
            <w:r w:rsidRPr="0066750A">
              <w:rPr>
                <w:rFonts w:cstheme="minorHAnsi"/>
              </w:rPr>
              <w:t>Has the responsibility of ensuring that all capacity nominated is within the allowed limits and confirming all valid nominations to all involved parties. He informs the Interconnection Trade Responsible of the maximum nominated capacity allowed. Depending on market rules for a given interconnection the corresponding System Operators may appoint one Nomination Validator.</w:t>
            </w:r>
          </w:p>
        </w:tc>
        <w:tc>
          <w:tcPr>
            <w:tcW w:w="4043" w:type="dxa"/>
          </w:tcPr>
          <w:p w14:paraId="06FAAA19" w14:textId="77777777" w:rsidR="002A41AC" w:rsidRPr="0066750A" w:rsidRDefault="002A41AC" w:rsidP="00964227">
            <w:pPr>
              <w:spacing w:after="0"/>
              <w:rPr>
                <w:rFonts w:cstheme="minorHAnsi"/>
                <w:b/>
                <w:bCs/>
                <w:i/>
                <w:iCs/>
              </w:rPr>
            </w:pPr>
            <w:r w:rsidRPr="0066750A">
              <w:rPr>
                <w:rFonts w:cstheme="minorHAnsi"/>
                <w:b/>
                <w:bCs/>
                <w:i/>
                <w:iCs/>
              </w:rPr>
              <w:t>20221207:</w:t>
            </w:r>
          </w:p>
          <w:p w14:paraId="595C2AD1"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3FE3746F" w14:textId="77777777"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 xml:space="preserve">A party responsible for ensuring that all capacity nominated for an interconnection is within the allowed limits and confirming all valid nominations to all involved parties. The party informs the Interconnection Trade Responsible of the maximum nominated capacity allowed. </w:t>
            </w:r>
          </w:p>
          <w:p w14:paraId="13F69E5E" w14:textId="77777777" w:rsidR="002A41AC" w:rsidRPr="0066750A" w:rsidRDefault="002A41AC" w:rsidP="00964227">
            <w:pPr>
              <w:pStyle w:val="ListParagraph"/>
              <w:numPr>
                <w:ilvl w:val="0"/>
                <w:numId w:val="0"/>
              </w:numPr>
              <w:spacing w:after="0"/>
              <w:ind w:left="386"/>
              <w:rPr>
                <w:rFonts w:asciiTheme="minorHAnsi" w:hAnsiTheme="minorHAnsi"/>
                <w:b/>
                <w:bCs w:val="0"/>
                <w:i/>
                <w:iCs/>
              </w:rPr>
            </w:pPr>
            <w:r w:rsidRPr="0066750A">
              <w:rPr>
                <w:rFonts w:asciiTheme="minorHAnsi" w:hAnsiTheme="minorHAnsi"/>
                <w:b/>
                <w:i/>
                <w:iCs/>
              </w:rPr>
              <w:t>Additional information:</w:t>
            </w:r>
          </w:p>
          <w:p w14:paraId="77264008" w14:textId="77777777" w:rsidR="002A41AC" w:rsidRPr="0066750A"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Depending on market rules for a given interconnection the corresponding System Operators may appoint one Nomination Validator.</w:t>
            </w:r>
          </w:p>
          <w:p w14:paraId="1173627A" w14:textId="77777777" w:rsidR="002A41AC" w:rsidRPr="0066750A" w:rsidRDefault="002A41AC" w:rsidP="002A41AC">
            <w:pPr>
              <w:pStyle w:val="ListParagraph"/>
              <w:numPr>
                <w:ilvl w:val="0"/>
                <w:numId w:val="24"/>
              </w:numPr>
              <w:ind w:left="386" w:hanging="142"/>
              <w:rPr>
                <w:rFonts w:asciiTheme="minorHAnsi" w:hAnsiTheme="minorHAnsi"/>
                <w:i/>
                <w:iCs/>
              </w:rPr>
            </w:pPr>
            <w:r w:rsidRPr="0066750A">
              <w:rPr>
                <w:rFonts w:asciiTheme="minorHAnsi" w:hAnsiTheme="minorHAnsi"/>
              </w:rPr>
              <w:t>The interconnection needs to be defined.</w:t>
            </w:r>
          </w:p>
        </w:tc>
      </w:tr>
      <w:tr w:rsidR="002A41AC" w:rsidRPr="0066750A" w14:paraId="64022ED6" w14:textId="77777777" w:rsidTr="00F600E4">
        <w:trPr>
          <w:cantSplit/>
          <w:tblCellSpacing w:w="15" w:type="dxa"/>
        </w:trPr>
        <w:tc>
          <w:tcPr>
            <w:tcW w:w="556" w:type="dxa"/>
            <w:vAlign w:val="center"/>
          </w:tcPr>
          <w:p w14:paraId="124CA601" w14:textId="77777777" w:rsidR="002A41AC" w:rsidRPr="0066750A" w:rsidRDefault="002A41AC" w:rsidP="00964227">
            <w:pPr>
              <w:rPr>
                <w:rFonts w:cstheme="minorHAnsi"/>
              </w:rPr>
            </w:pPr>
            <w:r w:rsidRPr="0066750A">
              <w:rPr>
                <w:rFonts w:cstheme="minorHAnsi"/>
              </w:rPr>
              <w:t>Role</w:t>
            </w:r>
          </w:p>
        </w:tc>
        <w:tc>
          <w:tcPr>
            <w:tcW w:w="1518" w:type="dxa"/>
            <w:vAlign w:val="center"/>
          </w:tcPr>
          <w:p w14:paraId="21893807" w14:textId="77777777" w:rsidR="002A41AC" w:rsidRPr="0066750A" w:rsidRDefault="002A41AC" w:rsidP="00964227">
            <w:pPr>
              <w:rPr>
                <w:rFonts w:cstheme="minorHAnsi"/>
              </w:rPr>
            </w:pPr>
            <w:r w:rsidRPr="0066750A">
              <w:rPr>
                <w:rFonts w:cstheme="minorHAnsi"/>
              </w:rPr>
              <w:t>Party Administrator</w:t>
            </w:r>
          </w:p>
        </w:tc>
        <w:tc>
          <w:tcPr>
            <w:tcW w:w="3912" w:type="dxa"/>
            <w:vAlign w:val="center"/>
          </w:tcPr>
          <w:p w14:paraId="283718D8" w14:textId="77777777" w:rsidR="002A41AC" w:rsidRPr="0066750A" w:rsidRDefault="002A41AC" w:rsidP="00964227">
            <w:pPr>
              <w:rPr>
                <w:rFonts w:cstheme="minorHAnsi"/>
              </w:rPr>
            </w:pPr>
            <w:r w:rsidRPr="0066750A">
              <w:rPr>
                <w:rFonts w:cstheme="minorHAnsi"/>
              </w:rPr>
              <w:t>A party responsible for maintaining party characteristics for the energy sector.</w:t>
            </w:r>
          </w:p>
        </w:tc>
        <w:tc>
          <w:tcPr>
            <w:tcW w:w="4043" w:type="dxa"/>
          </w:tcPr>
          <w:p w14:paraId="64C0E810" w14:textId="77777777" w:rsidR="002A41AC" w:rsidRPr="0066750A" w:rsidRDefault="002A41AC" w:rsidP="00964227">
            <w:pPr>
              <w:spacing w:after="0"/>
              <w:rPr>
                <w:rFonts w:cstheme="minorHAnsi"/>
                <w:b/>
                <w:bCs/>
                <w:i/>
                <w:iCs/>
              </w:rPr>
            </w:pPr>
            <w:r w:rsidRPr="0066750A">
              <w:rPr>
                <w:rFonts w:cstheme="minorHAnsi"/>
                <w:b/>
                <w:bCs/>
                <w:i/>
                <w:iCs/>
              </w:rPr>
              <w:t>20221207:</w:t>
            </w:r>
          </w:p>
          <w:p w14:paraId="5793A699"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566B0DED" w14:textId="25E558A7"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A party responsible for administrati</w:t>
            </w:r>
            <w:r w:rsidR="00E93027" w:rsidRPr="0066750A">
              <w:rPr>
                <w:rFonts w:asciiTheme="minorHAnsi" w:hAnsiTheme="minorHAnsi"/>
                <w:i/>
                <w:iCs/>
              </w:rPr>
              <w:t>o</w:t>
            </w:r>
            <w:r w:rsidRPr="0066750A">
              <w:rPr>
                <w:rFonts w:asciiTheme="minorHAnsi" w:hAnsiTheme="minorHAnsi"/>
                <w:i/>
                <w:iCs/>
              </w:rPr>
              <w:t>n</w:t>
            </w:r>
            <w:r w:rsidR="00E93027" w:rsidRPr="0066750A">
              <w:rPr>
                <w:rFonts w:asciiTheme="minorHAnsi" w:hAnsiTheme="minorHAnsi"/>
                <w:i/>
                <w:iCs/>
              </w:rPr>
              <w:t xml:space="preserve"> </w:t>
            </w:r>
            <w:proofErr w:type="gramStart"/>
            <w:r w:rsidR="00E93027" w:rsidRPr="0066750A">
              <w:rPr>
                <w:rFonts w:asciiTheme="minorHAnsi" w:hAnsiTheme="minorHAnsi"/>
                <w:i/>
                <w:iCs/>
              </w:rPr>
              <w:t xml:space="preserve">of </w:t>
            </w:r>
            <w:r w:rsidRPr="0066750A">
              <w:rPr>
                <w:rFonts w:asciiTheme="minorHAnsi" w:hAnsiTheme="minorHAnsi"/>
                <w:i/>
                <w:iCs/>
              </w:rPr>
              <w:t xml:space="preserve"> party</w:t>
            </w:r>
            <w:proofErr w:type="gramEnd"/>
            <w:r w:rsidRPr="0066750A">
              <w:rPr>
                <w:rFonts w:asciiTheme="minorHAnsi" w:hAnsiTheme="minorHAnsi"/>
                <w:i/>
                <w:iCs/>
              </w:rPr>
              <w:t xml:space="preserve"> characteristics and making these party characteristics available for entitled parties.</w:t>
            </w:r>
          </w:p>
        </w:tc>
      </w:tr>
      <w:tr w:rsidR="002A41AC" w:rsidRPr="0066750A" w14:paraId="23B89991" w14:textId="77777777" w:rsidTr="00F600E4">
        <w:trPr>
          <w:cantSplit/>
          <w:tblCellSpacing w:w="15" w:type="dxa"/>
        </w:trPr>
        <w:tc>
          <w:tcPr>
            <w:tcW w:w="556" w:type="dxa"/>
            <w:vAlign w:val="center"/>
            <w:hideMark/>
          </w:tcPr>
          <w:p w14:paraId="42CBBD9B"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1D35B26F" w14:textId="77777777" w:rsidR="002A41AC" w:rsidRPr="0066750A" w:rsidRDefault="002A41AC" w:rsidP="00964227">
            <w:pPr>
              <w:rPr>
                <w:rFonts w:cstheme="minorHAnsi"/>
              </w:rPr>
            </w:pPr>
            <w:r w:rsidRPr="0066750A">
              <w:rPr>
                <w:rFonts w:cstheme="minorHAnsi"/>
              </w:rPr>
              <w:t>Party Connected to the Grid</w:t>
            </w:r>
          </w:p>
        </w:tc>
        <w:tc>
          <w:tcPr>
            <w:tcW w:w="3912" w:type="dxa"/>
            <w:vAlign w:val="center"/>
          </w:tcPr>
          <w:p w14:paraId="300B1EF9" w14:textId="77777777" w:rsidR="002A41AC" w:rsidRPr="0066750A" w:rsidRDefault="002A41AC" w:rsidP="00964227">
            <w:pPr>
              <w:rPr>
                <w:rFonts w:cstheme="minorHAnsi"/>
              </w:rPr>
            </w:pPr>
            <w:r w:rsidRPr="0066750A">
              <w:rPr>
                <w:rFonts w:cstheme="minorHAnsi"/>
              </w:rPr>
              <w:t>A party that contracts for the right to take out or feed in energy at an Accounting Point.</w:t>
            </w:r>
          </w:p>
        </w:tc>
        <w:tc>
          <w:tcPr>
            <w:tcW w:w="4043" w:type="dxa"/>
          </w:tcPr>
          <w:p w14:paraId="35AFF759" w14:textId="77777777" w:rsidR="002A41AC" w:rsidRPr="0066750A" w:rsidRDefault="002A41AC" w:rsidP="00964227">
            <w:pPr>
              <w:spacing w:after="0"/>
              <w:rPr>
                <w:rFonts w:cstheme="minorHAnsi"/>
                <w:b/>
                <w:bCs/>
                <w:i/>
                <w:iCs/>
              </w:rPr>
            </w:pPr>
            <w:r w:rsidRPr="0066750A">
              <w:rPr>
                <w:rFonts w:cstheme="minorHAnsi"/>
                <w:b/>
                <w:bCs/>
                <w:i/>
                <w:iCs/>
              </w:rPr>
              <w:t>20221212:</w:t>
            </w:r>
          </w:p>
          <w:p w14:paraId="3AB0D059"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2C35B6F5" w14:textId="77777777" w:rsidR="002A41AC" w:rsidRPr="0066750A" w:rsidRDefault="002A41AC" w:rsidP="00964227">
            <w:pPr>
              <w:pStyle w:val="ListParagraph"/>
              <w:numPr>
                <w:ilvl w:val="0"/>
                <w:numId w:val="0"/>
              </w:numPr>
              <w:ind w:left="386"/>
              <w:rPr>
                <w:rFonts w:asciiTheme="minorHAnsi" w:hAnsiTheme="minorHAnsi"/>
              </w:rPr>
            </w:pPr>
            <w:r w:rsidRPr="0066750A">
              <w:rPr>
                <w:rFonts w:asciiTheme="minorHAnsi" w:hAnsiTheme="minorHAnsi"/>
                <w:i/>
                <w:iCs/>
              </w:rPr>
              <w:t>A party that contracts with the Grid Access Provider for the right to take energy out from the grid or feed energy into the grid at an Accounting Point.</w:t>
            </w:r>
          </w:p>
        </w:tc>
      </w:tr>
      <w:tr w:rsidR="002A41AC" w:rsidRPr="0066750A" w14:paraId="2280F437" w14:textId="77777777" w:rsidTr="00F600E4">
        <w:trPr>
          <w:cantSplit/>
          <w:tblCellSpacing w:w="15" w:type="dxa"/>
        </w:trPr>
        <w:tc>
          <w:tcPr>
            <w:tcW w:w="556" w:type="dxa"/>
            <w:vAlign w:val="center"/>
            <w:hideMark/>
          </w:tcPr>
          <w:p w14:paraId="7BE80ADE" w14:textId="77777777" w:rsidR="002A41AC" w:rsidRPr="0066750A" w:rsidRDefault="002A41AC" w:rsidP="00964227">
            <w:pPr>
              <w:rPr>
                <w:rFonts w:cstheme="minorHAnsi"/>
              </w:rPr>
            </w:pPr>
            <w:r w:rsidRPr="0066750A">
              <w:rPr>
                <w:rFonts w:cstheme="minorHAnsi"/>
              </w:rPr>
              <w:t>Role</w:t>
            </w:r>
          </w:p>
        </w:tc>
        <w:tc>
          <w:tcPr>
            <w:tcW w:w="1518" w:type="dxa"/>
            <w:vAlign w:val="center"/>
          </w:tcPr>
          <w:p w14:paraId="0FF5D386" w14:textId="77777777" w:rsidR="002A41AC" w:rsidRPr="0066750A" w:rsidRDefault="002A41AC" w:rsidP="00964227">
            <w:pPr>
              <w:rPr>
                <w:rFonts w:cstheme="minorHAnsi"/>
              </w:rPr>
            </w:pPr>
            <w:r w:rsidRPr="0066750A">
              <w:rPr>
                <w:rFonts w:cstheme="minorHAnsi"/>
              </w:rPr>
              <w:t>Producer</w:t>
            </w:r>
          </w:p>
        </w:tc>
        <w:tc>
          <w:tcPr>
            <w:tcW w:w="3912" w:type="dxa"/>
            <w:vAlign w:val="center"/>
          </w:tcPr>
          <w:p w14:paraId="64C06C4E" w14:textId="77777777" w:rsidR="002A41AC" w:rsidRPr="0066750A" w:rsidRDefault="002A41AC" w:rsidP="00964227">
            <w:pPr>
              <w:rPr>
                <w:rFonts w:cstheme="minorHAnsi"/>
              </w:rPr>
            </w:pPr>
            <w:r w:rsidRPr="0066750A">
              <w:rPr>
                <w:rFonts w:cstheme="minorHAnsi"/>
              </w:rPr>
              <w:t>A party that generates electricity.</w:t>
            </w:r>
          </w:p>
          <w:p w14:paraId="4507E81E" w14:textId="77777777" w:rsidR="002A41AC" w:rsidRPr="0066750A" w:rsidRDefault="002A41AC" w:rsidP="00964227">
            <w:pPr>
              <w:rPr>
                <w:rFonts w:cstheme="minorHAnsi"/>
                <w:b/>
                <w:bCs/>
              </w:rPr>
            </w:pPr>
            <w:r w:rsidRPr="0066750A">
              <w:rPr>
                <w:rFonts w:cstheme="minorHAnsi"/>
                <w:b/>
                <w:bCs/>
              </w:rPr>
              <w:t xml:space="preserve">Additional information: </w:t>
            </w:r>
          </w:p>
          <w:p w14:paraId="5B60A36F" w14:textId="77777777" w:rsidR="002A41AC" w:rsidRPr="0066750A" w:rsidRDefault="002A41AC" w:rsidP="00964227">
            <w:pPr>
              <w:rPr>
                <w:rFonts w:cstheme="minorHAnsi"/>
              </w:rPr>
            </w:pPr>
            <w:r w:rsidRPr="0066750A">
              <w:rPr>
                <w:rFonts w:cstheme="minorHAnsi"/>
              </w:rPr>
              <w:t>This is a type of Party Connected to the Grid.</w:t>
            </w:r>
          </w:p>
          <w:p w14:paraId="256ABFAE" w14:textId="77777777" w:rsidR="002A41AC" w:rsidRPr="0066750A" w:rsidRDefault="002A41AC" w:rsidP="00964227">
            <w:pPr>
              <w:rPr>
                <w:rFonts w:cstheme="minorHAnsi"/>
              </w:rPr>
            </w:pPr>
            <w:r w:rsidRPr="0066750A">
              <w:rPr>
                <w:rFonts w:cstheme="minorHAnsi"/>
              </w:rPr>
              <w:t xml:space="preserve">The definition is based on </w:t>
            </w:r>
            <w:hyperlink r:id="rId19" w:anchor="d1e915-125-1" w:history="1">
              <w:r w:rsidRPr="0066750A">
                <w:rPr>
                  <w:rStyle w:val="Hyperlink"/>
                  <w:rFonts w:cstheme="minorHAnsi"/>
                </w:rPr>
                <w:t>Directive (EU) 2019/944 of the European Parliament and of the Council of 5 June 2019 on common rules for the internal market for electricity and amending Directive 2012/27/EU, Article 2 (Definitions).</w:t>
              </w:r>
            </w:hyperlink>
          </w:p>
        </w:tc>
        <w:tc>
          <w:tcPr>
            <w:tcW w:w="4043" w:type="dxa"/>
          </w:tcPr>
          <w:p w14:paraId="0B482E56" w14:textId="77777777" w:rsidR="002A41AC" w:rsidRPr="0066750A" w:rsidRDefault="002A41AC" w:rsidP="00964227">
            <w:pPr>
              <w:spacing w:after="0"/>
              <w:rPr>
                <w:rFonts w:cstheme="minorHAnsi"/>
                <w:b/>
                <w:bCs/>
                <w:i/>
                <w:iCs/>
              </w:rPr>
            </w:pPr>
            <w:r w:rsidRPr="0066750A">
              <w:rPr>
                <w:rFonts w:cstheme="minorHAnsi"/>
                <w:b/>
                <w:bCs/>
                <w:i/>
                <w:iCs/>
              </w:rPr>
              <w:t>20221212:</w:t>
            </w:r>
          </w:p>
          <w:p w14:paraId="6B264E97"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37A1DD49" w14:textId="77777777" w:rsidR="002A41AC" w:rsidRPr="0066750A" w:rsidRDefault="002A41AC" w:rsidP="00964227">
            <w:pPr>
              <w:pStyle w:val="ListParagraph"/>
              <w:numPr>
                <w:ilvl w:val="0"/>
                <w:numId w:val="0"/>
              </w:numPr>
              <w:ind w:left="522"/>
              <w:rPr>
                <w:rFonts w:asciiTheme="minorHAnsi" w:hAnsiTheme="minorHAnsi"/>
                <w:i/>
                <w:iCs/>
              </w:rPr>
            </w:pPr>
            <w:r w:rsidRPr="0066750A">
              <w:rPr>
                <w:rFonts w:asciiTheme="minorHAnsi" w:hAnsiTheme="minorHAnsi"/>
                <w:i/>
                <w:iCs/>
              </w:rPr>
              <w:t>A Party Connected to the Grid that feeds energy into the grid at an Accounting Point.</w:t>
            </w:r>
          </w:p>
          <w:p w14:paraId="57B2F8AF" w14:textId="77777777" w:rsidR="00E93027" w:rsidRPr="0066750A" w:rsidRDefault="00E93027" w:rsidP="00BB3D20">
            <w:pPr>
              <w:spacing w:after="0"/>
              <w:ind w:left="522"/>
              <w:rPr>
                <w:rFonts w:cstheme="minorHAnsi"/>
                <w:b/>
                <w:bCs/>
              </w:rPr>
            </w:pPr>
            <w:r w:rsidRPr="0066750A">
              <w:rPr>
                <w:rFonts w:cstheme="minorHAnsi"/>
                <w:b/>
                <w:bCs/>
              </w:rPr>
              <w:t xml:space="preserve">Additional information: </w:t>
            </w:r>
          </w:p>
          <w:p w14:paraId="07FB3023" w14:textId="77777777" w:rsidR="00E93027" w:rsidRPr="0066750A" w:rsidRDefault="00E93027" w:rsidP="00E93027">
            <w:pPr>
              <w:pStyle w:val="ListParagraph"/>
              <w:numPr>
                <w:ilvl w:val="0"/>
                <w:numId w:val="0"/>
              </w:numPr>
              <w:ind w:left="522"/>
              <w:rPr>
                <w:rStyle w:val="Hyperlink"/>
                <w:rFonts w:asciiTheme="minorHAnsi" w:hAnsiTheme="minorHAnsi"/>
              </w:rPr>
            </w:pPr>
            <w:r w:rsidRPr="0066750A">
              <w:rPr>
                <w:rFonts w:asciiTheme="minorHAnsi" w:hAnsiTheme="minorHAnsi"/>
              </w:rPr>
              <w:t xml:space="preserve">The definition is based on </w:t>
            </w:r>
            <w:hyperlink r:id="rId20" w:anchor="d1e915-125-1" w:history="1">
              <w:r w:rsidRPr="0066750A">
                <w:rPr>
                  <w:rStyle w:val="Hyperlink"/>
                  <w:rFonts w:asciiTheme="minorHAnsi" w:hAnsiTheme="minorHAnsi"/>
                </w:rPr>
                <w:t>Directive (EU) 2019/944 of the European Parliament and of the Council of 5 June 2019 on common rules for the internal market for electricity and amending Directive 2012/27/EU, Article 2 (Definitions).</w:t>
              </w:r>
            </w:hyperlink>
          </w:p>
          <w:p w14:paraId="4A726B08" w14:textId="77777777" w:rsidR="004C3E2A" w:rsidRPr="0066750A" w:rsidRDefault="004C3E2A" w:rsidP="00BB3D20">
            <w:pPr>
              <w:pStyle w:val="ListParagraph"/>
              <w:numPr>
                <w:ilvl w:val="0"/>
                <w:numId w:val="24"/>
              </w:numPr>
              <w:ind w:left="386" w:hanging="142"/>
              <w:rPr>
                <w:rFonts w:asciiTheme="minorHAnsi" w:hAnsiTheme="minorHAnsi"/>
              </w:rPr>
            </w:pPr>
            <w:r w:rsidRPr="0066750A">
              <w:rPr>
                <w:rFonts w:asciiTheme="minorHAnsi" w:hAnsiTheme="minorHAnsi"/>
              </w:rPr>
              <w:t>Is the “Additional information” helpful?</w:t>
            </w:r>
          </w:p>
        </w:tc>
      </w:tr>
      <w:tr w:rsidR="002A41AC" w:rsidRPr="0066750A" w14:paraId="0FAEC963" w14:textId="77777777" w:rsidTr="00F600E4">
        <w:trPr>
          <w:cantSplit/>
          <w:tblCellSpacing w:w="15" w:type="dxa"/>
        </w:trPr>
        <w:tc>
          <w:tcPr>
            <w:tcW w:w="556" w:type="dxa"/>
            <w:vAlign w:val="center"/>
            <w:hideMark/>
          </w:tcPr>
          <w:p w14:paraId="4825A172"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6AF667B" w14:textId="77777777" w:rsidR="002A41AC" w:rsidRPr="0066750A" w:rsidRDefault="002A41AC" w:rsidP="00964227">
            <w:pPr>
              <w:rPr>
                <w:rFonts w:cstheme="minorHAnsi"/>
              </w:rPr>
            </w:pPr>
            <w:r w:rsidRPr="0066750A">
              <w:rPr>
                <w:rFonts w:cstheme="minorHAnsi"/>
              </w:rPr>
              <w:t>Production Responsible Party</w:t>
            </w:r>
          </w:p>
        </w:tc>
        <w:tc>
          <w:tcPr>
            <w:tcW w:w="3912" w:type="dxa"/>
            <w:vAlign w:val="center"/>
          </w:tcPr>
          <w:p w14:paraId="71FB753E" w14:textId="77777777" w:rsidR="002A41AC" w:rsidRPr="0066750A" w:rsidRDefault="002A41AC" w:rsidP="00964227">
            <w:pPr>
              <w:rPr>
                <w:rFonts w:cstheme="minorHAnsi"/>
              </w:rPr>
            </w:pPr>
            <w:r w:rsidRPr="0066750A">
              <w:rPr>
                <w:rFonts w:cstheme="minorHAnsi"/>
              </w:rPr>
              <w:t>A Production Responsible Party is responsible for its imbalances, meaning the difference between the energy volume physically injected to the system and the final nominated energy volume, including any imbalance adjustment within a given imbalance settlement period.</w:t>
            </w:r>
          </w:p>
          <w:p w14:paraId="56CDAF54" w14:textId="77777777" w:rsidR="002A41AC" w:rsidRPr="0066750A" w:rsidRDefault="002A41AC" w:rsidP="00964227">
            <w:pPr>
              <w:rPr>
                <w:rFonts w:cstheme="minorHAnsi"/>
                <w:b/>
                <w:bCs/>
              </w:rPr>
            </w:pPr>
            <w:r w:rsidRPr="0066750A">
              <w:rPr>
                <w:rFonts w:cstheme="minorHAnsi"/>
                <w:b/>
                <w:bCs/>
              </w:rPr>
              <w:t>Additional information:</w:t>
            </w:r>
          </w:p>
          <w:p w14:paraId="2BCC0142" w14:textId="77777777" w:rsidR="002A41AC" w:rsidRPr="0066750A" w:rsidRDefault="002A41AC" w:rsidP="00964227">
            <w:pPr>
              <w:rPr>
                <w:rFonts w:cstheme="minorHAnsi"/>
              </w:rPr>
            </w:pPr>
            <w:r w:rsidRPr="0066750A">
              <w:rPr>
                <w:rFonts w:cstheme="minorHAnsi"/>
              </w:rPr>
              <w:t>This is a type of Balance Responsible Party.</w:t>
            </w:r>
          </w:p>
        </w:tc>
        <w:tc>
          <w:tcPr>
            <w:tcW w:w="4043" w:type="dxa"/>
          </w:tcPr>
          <w:p w14:paraId="4C590F5A" w14:textId="77777777" w:rsidR="002A41AC" w:rsidRPr="0066750A" w:rsidRDefault="002A41AC" w:rsidP="00964227">
            <w:pPr>
              <w:rPr>
                <w:rFonts w:cstheme="minorHAnsi"/>
              </w:rPr>
            </w:pPr>
            <w:r w:rsidRPr="0066750A">
              <w:rPr>
                <w:rFonts w:cstheme="minorHAnsi"/>
              </w:rPr>
              <w:t>&lt;&lt; under discussion at HG&gt;&gt;</w:t>
            </w:r>
          </w:p>
        </w:tc>
      </w:tr>
      <w:tr w:rsidR="002A41AC" w:rsidRPr="0066750A" w14:paraId="3DA7DBF2" w14:textId="77777777" w:rsidTr="00F600E4">
        <w:trPr>
          <w:cantSplit/>
          <w:tblCellSpacing w:w="15" w:type="dxa"/>
        </w:trPr>
        <w:tc>
          <w:tcPr>
            <w:tcW w:w="556" w:type="dxa"/>
            <w:vAlign w:val="center"/>
            <w:hideMark/>
          </w:tcPr>
          <w:p w14:paraId="3F709EB3" w14:textId="77777777" w:rsidR="002A41AC" w:rsidRPr="0066750A" w:rsidRDefault="002A41AC" w:rsidP="00964227">
            <w:pPr>
              <w:rPr>
                <w:rFonts w:cstheme="minorHAnsi"/>
              </w:rPr>
            </w:pPr>
            <w:r w:rsidRPr="0066750A">
              <w:rPr>
                <w:rFonts w:cstheme="minorHAnsi"/>
              </w:rPr>
              <w:t>Role</w:t>
            </w:r>
          </w:p>
        </w:tc>
        <w:tc>
          <w:tcPr>
            <w:tcW w:w="1518" w:type="dxa"/>
            <w:vAlign w:val="center"/>
          </w:tcPr>
          <w:p w14:paraId="5E851AA8" w14:textId="77777777" w:rsidR="002A41AC" w:rsidRPr="0066750A" w:rsidRDefault="002A41AC" w:rsidP="00964227">
            <w:pPr>
              <w:rPr>
                <w:rFonts w:cstheme="minorHAnsi"/>
              </w:rPr>
            </w:pPr>
            <w:r w:rsidRPr="0066750A">
              <w:rPr>
                <w:rFonts w:cstheme="minorHAnsi"/>
              </w:rPr>
              <w:t>Reconciliation Accountable</w:t>
            </w:r>
          </w:p>
        </w:tc>
        <w:tc>
          <w:tcPr>
            <w:tcW w:w="3912" w:type="dxa"/>
            <w:vAlign w:val="center"/>
          </w:tcPr>
          <w:p w14:paraId="335C92DF" w14:textId="77777777" w:rsidR="002A41AC" w:rsidRPr="0066750A" w:rsidRDefault="002A41AC" w:rsidP="00964227">
            <w:pPr>
              <w:rPr>
                <w:rFonts w:cstheme="minorHAnsi"/>
              </w:rPr>
            </w:pPr>
            <w:r w:rsidRPr="0066750A">
              <w:rPr>
                <w:rFonts w:cstheme="minorHAnsi"/>
              </w:rPr>
              <w:t>A party that is financially accountable for the reconciled volume of energy products for a profiled Accounting Point.</w:t>
            </w:r>
          </w:p>
        </w:tc>
        <w:tc>
          <w:tcPr>
            <w:tcW w:w="4043" w:type="dxa"/>
          </w:tcPr>
          <w:p w14:paraId="017B47D0" w14:textId="77777777" w:rsidR="002A41AC" w:rsidRPr="0066750A" w:rsidRDefault="002A41AC" w:rsidP="00964227">
            <w:pPr>
              <w:spacing w:after="0"/>
              <w:rPr>
                <w:rFonts w:cstheme="minorHAnsi"/>
                <w:b/>
                <w:bCs/>
                <w:i/>
                <w:iCs/>
              </w:rPr>
            </w:pPr>
            <w:r w:rsidRPr="0066750A">
              <w:rPr>
                <w:rFonts w:cstheme="minorHAnsi"/>
                <w:b/>
                <w:bCs/>
                <w:i/>
                <w:iCs/>
              </w:rPr>
              <w:t>20230109:</w:t>
            </w:r>
          </w:p>
          <w:p w14:paraId="717E9F05" w14:textId="632214F1" w:rsidR="004C3E2A" w:rsidRPr="0066750A" w:rsidRDefault="004C3E2A" w:rsidP="004C3E2A">
            <w:pPr>
              <w:pStyle w:val="ListParagraph"/>
              <w:numPr>
                <w:ilvl w:val="0"/>
                <w:numId w:val="24"/>
              </w:numPr>
              <w:ind w:left="386" w:hanging="142"/>
              <w:rPr>
                <w:rFonts w:asciiTheme="minorHAnsi" w:hAnsiTheme="minorHAnsi"/>
              </w:rPr>
            </w:pPr>
            <w:r w:rsidRPr="0066750A">
              <w:rPr>
                <w:rFonts w:asciiTheme="minorHAnsi" w:hAnsiTheme="minorHAnsi"/>
              </w:rPr>
              <w:t>Add:</w:t>
            </w:r>
          </w:p>
          <w:p w14:paraId="21A78652" w14:textId="77777777" w:rsidR="004C3E2A" w:rsidRPr="0066750A" w:rsidRDefault="004C3E2A" w:rsidP="00BB3D20">
            <w:pPr>
              <w:pStyle w:val="ListParagraph"/>
              <w:numPr>
                <w:ilvl w:val="0"/>
                <w:numId w:val="0"/>
              </w:numPr>
              <w:spacing w:after="0"/>
              <w:ind w:left="386"/>
              <w:rPr>
                <w:rFonts w:asciiTheme="minorHAnsi" w:hAnsiTheme="minorHAnsi"/>
              </w:rPr>
            </w:pPr>
            <w:r w:rsidRPr="0066750A">
              <w:rPr>
                <w:rFonts w:asciiTheme="minorHAnsi" w:hAnsiTheme="minorHAnsi"/>
                <w:b/>
                <w:bCs w:val="0"/>
              </w:rPr>
              <w:t>Additional information:</w:t>
            </w:r>
          </w:p>
          <w:p w14:paraId="32D8AE6A" w14:textId="77777777" w:rsidR="004C3E2A" w:rsidRPr="0066750A" w:rsidRDefault="004C3E2A" w:rsidP="004C3E2A">
            <w:pPr>
              <w:pStyle w:val="ListParagraph"/>
              <w:numPr>
                <w:ilvl w:val="0"/>
                <w:numId w:val="0"/>
              </w:numPr>
              <w:ind w:left="386"/>
              <w:rPr>
                <w:rFonts w:asciiTheme="minorHAnsi" w:hAnsiTheme="minorHAnsi"/>
              </w:rPr>
            </w:pPr>
            <w:r w:rsidRPr="0066750A">
              <w:rPr>
                <w:rFonts w:asciiTheme="minorHAnsi" w:hAnsiTheme="minorHAnsi"/>
              </w:rPr>
              <w:t xml:space="preserve">Typically clustered with either Energy Supplier or Balance Responsible Party. </w:t>
            </w:r>
          </w:p>
        </w:tc>
      </w:tr>
      <w:tr w:rsidR="002A41AC" w:rsidRPr="0066750A" w14:paraId="5D7AA3DE" w14:textId="77777777" w:rsidTr="00F600E4">
        <w:trPr>
          <w:cantSplit/>
          <w:tblCellSpacing w:w="15" w:type="dxa"/>
        </w:trPr>
        <w:tc>
          <w:tcPr>
            <w:tcW w:w="556" w:type="dxa"/>
            <w:vAlign w:val="center"/>
            <w:hideMark/>
          </w:tcPr>
          <w:p w14:paraId="6BAD98AC"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7DC6DC71" w14:textId="77777777" w:rsidR="002A41AC" w:rsidRPr="0066750A" w:rsidRDefault="002A41AC" w:rsidP="00964227">
            <w:pPr>
              <w:rPr>
                <w:rFonts w:cstheme="minorHAnsi"/>
              </w:rPr>
            </w:pPr>
            <w:r w:rsidRPr="0066750A">
              <w:rPr>
                <w:rFonts w:cstheme="minorHAnsi"/>
              </w:rPr>
              <w:t>Reconciliation Responsible</w:t>
            </w:r>
          </w:p>
        </w:tc>
        <w:tc>
          <w:tcPr>
            <w:tcW w:w="3912" w:type="dxa"/>
            <w:vAlign w:val="center"/>
          </w:tcPr>
          <w:p w14:paraId="5103D2DC" w14:textId="77777777" w:rsidR="002A41AC" w:rsidRPr="0066750A" w:rsidRDefault="002A41AC" w:rsidP="00964227">
            <w:pPr>
              <w:rPr>
                <w:rFonts w:cstheme="minorHAnsi"/>
              </w:rPr>
            </w:pPr>
            <w:r w:rsidRPr="0066750A">
              <w:rPr>
                <w:rFonts w:cstheme="minorHAnsi"/>
              </w:rPr>
              <w:t>A party that is responsible for reconciling, within a Metering Grid Area, the volumes used in the imbalance settlement process for profiled Accounting Points and the actual measured quantities.</w:t>
            </w:r>
          </w:p>
          <w:p w14:paraId="1ABD2CD9" w14:textId="77777777" w:rsidR="002A41AC" w:rsidRPr="0073724E" w:rsidRDefault="002A41AC" w:rsidP="00964227">
            <w:pPr>
              <w:rPr>
                <w:rFonts w:cstheme="minorHAnsi"/>
                <w:b/>
                <w:bCs/>
              </w:rPr>
            </w:pPr>
            <w:r w:rsidRPr="0073724E">
              <w:rPr>
                <w:rFonts w:cstheme="minorHAnsi"/>
                <w:b/>
                <w:bCs/>
              </w:rPr>
              <w:t>Note:</w:t>
            </w:r>
          </w:p>
          <w:p w14:paraId="666E3C06" w14:textId="77777777" w:rsidR="002A41AC" w:rsidRPr="0066750A" w:rsidRDefault="002A41AC" w:rsidP="00964227">
            <w:pPr>
              <w:rPr>
                <w:rFonts w:cstheme="minorHAnsi"/>
              </w:rPr>
            </w:pPr>
            <w:r w:rsidRPr="0066750A">
              <w:rPr>
                <w:rFonts w:cstheme="minorHAnsi"/>
              </w:rPr>
              <w:t>The Reconciliation Responsible may delegate the invoicing responsibility to a more generic role such as a Billing Agent.</w:t>
            </w:r>
          </w:p>
        </w:tc>
        <w:tc>
          <w:tcPr>
            <w:tcW w:w="4043" w:type="dxa"/>
          </w:tcPr>
          <w:p w14:paraId="2E019F0D" w14:textId="77777777" w:rsidR="002A41AC" w:rsidRPr="0066750A" w:rsidRDefault="002A41AC" w:rsidP="00964227">
            <w:pPr>
              <w:spacing w:after="0"/>
              <w:rPr>
                <w:rFonts w:cstheme="minorHAnsi"/>
                <w:b/>
                <w:bCs/>
                <w:i/>
                <w:iCs/>
              </w:rPr>
            </w:pPr>
            <w:r w:rsidRPr="0066750A">
              <w:rPr>
                <w:rFonts w:cstheme="minorHAnsi"/>
                <w:b/>
                <w:bCs/>
                <w:i/>
                <w:iCs/>
              </w:rPr>
              <w:t>20221212:</w:t>
            </w:r>
          </w:p>
          <w:p w14:paraId="0F3F8CA5"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14033E08" w14:textId="77777777" w:rsidR="002A41AC" w:rsidRPr="0066750A" w:rsidRDefault="002A41AC" w:rsidP="00964227">
            <w:pPr>
              <w:pStyle w:val="ListParagraph"/>
              <w:numPr>
                <w:ilvl w:val="0"/>
                <w:numId w:val="0"/>
              </w:numPr>
              <w:ind w:left="522"/>
              <w:rPr>
                <w:rFonts w:asciiTheme="minorHAnsi" w:hAnsiTheme="minorHAnsi"/>
                <w:i/>
                <w:iCs/>
              </w:rPr>
            </w:pPr>
            <w:r w:rsidRPr="0066750A">
              <w:rPr>
                <w:rFonts w:asciiTheme="minorHAnsi" w:hAnsiTheme="minorHAnsi"/>
                <w:i/>
                <w:iCs/>
              </w:rPr>
              <w:t>A party that is responsible for reconciling, within a Metering Grid Area, the energy volumes used for imbalance settlement for profiled Accounting Points against the actual validated measured energy volume for these Accounting Points.</w:t>
            </w:r>
          </w:p>
          <w:p w14:paraId="5B6F7333" w14:textId="77777777" w:rsidR="002A41AC" w:rsidRPr="0066750A" w:rsidRDefault="002A41AC" w:rsidP="00964227">
            <w:pPr>
              <w:pStyle w:val="ListParagraph"/>
              <w:numPr>
                <w:ilvl w:val="0"/>
                <w:numId w:val="0"/>
              </w:numPr>
              <w:ind w:left="522"/>
              <w:rPr>
                <w:rFonts w:asciiTheme="minorHAnsi" w:hAnsiTheme="minorHAnsi"/>
                <w:i/>
                <w:iCs/>
              </w:rPr>
            </w:pPr>
            <w:r w:rsidRPr="0066750A">
              <w:rPr>
                <w:rFonts w:asciiTheme="minorHAnsi" w:hAnsiTheme="minorHAnsi"/>
                <w:b/>
                <w:i/>
                <w:iCs/>
              </w:rPr>
              <w:t>Additional information</w:t>
            </w:r>
            <w:r w:rsidRPr="0066750A">
              <w:rPr>
                <w:rFonts w:asciiTheme="minorHAnsi" w:hAnsiTheme="minorHAnsi"/>
                <w:i/>
                <w:iCs/>
              </w:rPr>
              <w:t>:</w:t>
            </w:r>
          </w:p>
          <w:p w14:paraId="5DA35181" w14:textId="77777777" w:rsidR="002A41AC" w:rsidRPr="0066750A" w:rsidRDefault="002A41AC" w:rsidP="00964227">
            <w:pPr>
              <w:pStyle w:val="ListParagraph"/>
              <w:numPr>
                <w:ilvl w:val="0"/>
                <w:numId w:val="0"/>
              </w:numPr>
              <w:ind w:left="522"/>
              <w:rPr>
                <w:rFonts w:asciiTheme="minorHAnsi" w:hAnsiTheme="minorHAnsi"/>
              </w:rPr>
            </w:pPr>
            <w:r w:rsidRPr="0066750A">
              <w:rPr>
                <w:rFonts w:asciiTheme="minorHAnsi" w:hAnsiTheme="minorHAnsi"/>
                <w:i/>
                <w:iCs/>
              </w:rPr>
              <w:t>The Reconciliation Responsible may delegate the invoicing responsibility to a more generic role such as a Billing Agent.</w:t>
            </w:r>
          </w:p>
        </w:tc>
      </w:tr>
      <w:tr w:rsidR="002A41AC" w:rsidRPr="0066750A" w14:paraId="27A84DA9" w14:textId="77777777" w:rsidTr="00F600E4">
        <w:trPr>
          <w:cantSplit/>
          <w:tblCellSpacing w:w="15" w:type="dxa"/>
        </w:trPr>
        <w:tc>
          <w:tcPr>
            <w:tcW w:w="556" w:type="dxa"/>
            <w:vAlign w:val="center"/>
            <w:hideMark/>
          </w:tcPr>
          <w:p w14:paraId="44ED6BF7" w14:textId="77777777" w:rsidR="002A41AC" w:rsidRPr="0066750A" w:rsidRDefault="002A41AC" w:rsidP="00964227">
            <w:pPr>
              <w:rPr>
                <w:rFonts w:cstheme="minorHAnsi"/>
              </w:rPr>
            </w:pPr>
            <w:r w:rsidRPr="0066750A">
              <w:rPr>
                <w:rFonts w:cstheme="minorHAnsi"/>
              </w:rPr>
              <w:t>Role</w:t>
            </w:r>
          </w:p>
        </w:tc>
        <w:tc>
          <w:tcPr>
            <w:tcW w:w="1518" w:type="dxa"/>
            <w:vAlign w:val="center"/>
          </w:tcPr>
          <w:p w14:paraId="6353C748" w14:textId="77777777" w:rsidR="002A41AC" w:rsidRPr="0066750A" w:rsidRDefault="002A41AC" w:rsidP="00964227">
            <w:pPr>
              <w:rPr>
                <w:rFonts w:cstheme="minorHAnsi"/>
              </w:rPr>
            </w:pPr>
            <w:r w:rsidRPr="0066750A">
              <w:rPr>
                <w:rFonts w:cstheme="minorHAnsi"/>
              </w:rPr>
              <w:t>Reserve Allocator</w:t>
            </w:r>
          </w:p>
        </w:tc>
        <w:tc>
          <w:tcPr>
            <w:tcW w:w="3912" w:type="dxa"/>
            <w:vAlign w:val="center"/>
          </w:tcPr>
          <w:p w14:paraId="20110C38" w14:textId="77777777" w:rsidR="002A41AC" w:rsidRPr="0066750A" w:rsidRDefault="002A41AC" w:rsidP="00964227">
            <w:pPr>
              <w:rPr>
                <w:rFonts w:cstheme="minorHAnsi"/>
              </w:rPr>
            </w:pPr>
            <w:r w:rsidRPr="0066750A">
              <w:rPr>
                <w:rFonts w:cstheme="minorHAnsi"/>
              </w:rPr>
              <w:t>Informs the market of reserve requirements, receives bids against the requirements and in compliance with the prequalification criteria, determines which bids meet requirements and assigns bids.</w:t>
            </w:r>
          </w:p>
        </w:tc>
        <w:tc>
          <w:tcPr>
            <w:tcW w:w="4043" w:type="dxa"/>
          </w:tcPr>
          <w:p w14:paraId="490E8BDF" w14:textId="77777777" w:rsidR="002A41AC" w:rsidRPr="0066750A" w:rsidRDefault="002A41AC" w:rsidP="00964227">
            <w:pPr>
              <w:spacing w:after="0"/>
              <w:rPr>
                <w:rFonts w:cstheme="minorHAnsi"/>
                <w:b/>
                <w:bCs/>
                <w:i/>
                <w:iCs/>
              </w:rPr>
            </w:pPr>
            <w:r w:rsidRPr="0066750A">
              <w:rPr>
                <w:rFonts w:cstheme="minorHAnsi"/>
                <w:b/>
                <w:bCs/>
                <w:i/>
                <w:iCs/>
              </w:rPr>
              <w:t>20221212:</w:t>
            </w:r>
          </w:p>
          <w:p w14:paraId="4E18C772" w14:textId="6A382E04"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 xml:space="preserve">Needs to be discussed in the </w:t>
            </w:r>
            <w:r w:rsidR="0071795C" w:rsidRPr="0066750A">
              <w:rPr>
                <w:rFonts w:asciiTheme="minorHAnsi" w:hAnsiTheme="minorHAnsi"/>
              </w:rPr>
              <w:t>HG</w:t>
            </w:r>
            <w:r w:rsidRPr="0066750A">
              <w:rPr>
                <w:rFonts w:asciiTheme="minorHAnsi" w:hAnsiTheme="minorHAnsi"/>
              </w:rPr>
              <w:t>, since it is very vague.</w:t>
            </w:r>
          </w:p>
        </w:tc>
      </w:tr>
      <w:tr w:rsidR="002A41AC" w:rsidRPr="0066750A" w14:paraId="75992BE9" w14:textId="77777777" w:rsidTr="00F600E4">
        <w:trPr>
          <w:cantSplit/>
          <w:tblCellSpacing w:w="15" w:type="dxa"/>
        </w:trPr>
        <w:tc>
          <w:tcPr>
            <w:tcW w:w="556" w:type="dxa"/>
            <w:vAlign w:val="center"/>
          </w:tcPr>
          <w:p w14:paraId="7EB81FC9" w14:textId="77777777" w:rsidR="002A41AC" w:rsidRPr="0066750A" w:rsidRDefault="002A41AC" w:rsidP="00964227">
            <w:pPr>
              <w:rPr>
                <w:rFonts w:cstheme="minorHAnsi"/>
              </w:rPr>
            </w:pPr>
            <w:r w:rsidRPr="0066750A">
              <w:rPr>
                <w:rFonts w:cstheme="minorHAnsi"/>
              </w:rPr>
              <w:t>Role</w:t>
            </w:r>
          </w:p>
        </w:tc>
        <w:tc>
          <w:tcPr>
            <w:tcW w:w="1518" w:type="dxa"/>
            <w:vAlign w:val="center"/>
          </w:tcPr>
          <w:p w14:paraId="78A86896" w14:textId="77777777" w:rsidR="002A41AC" w:rsidRPr="0066750A" w:rsidRDefault="002A41AC" w:rsidP="00964227">
            <w:pPr>
              <w:rPr>
                <w:rFonts w:cstheme="minorHAnsi"/>
              </w:rPr>
            </w:pPr>
            <w:r w:rsidRPr="0066750A">
              <w:rPr>
                <w:rFonts w:cstheme="minorHAnsi"/>
              </w:rPr>
              <w:t>Resource Aggregator</w:t>
            </w:r>
          </w:p>
        </w:tc>
        <w:tc>
          <w:tcPr>
            <w:tcW w:w="3912" w:type="dxa"/>
            <w:vAlign w:val="center"/>
          </w:tcPr>
          <w:p w14:paraId="40A1941F" w14:textId="77777777" w:rsidR="00392433" w:rsidRDefault="0073724E" w:rsidP="00392433">
            <w:pPr>
              <w:rPr>
                <w:rFonts w:cstheme="minorHAnsi"/>
                <w:b/>
                <w:bCs/>
                <w:i/>
                <w:iCs/>
                <w:sz w:val="20"/>
                <w:szCs w:val="20"/>
              </w:rPr>
            </w:pPr>
            <w:r w:rsidRPr="0073724E">
              <w:rPr>
                <w:rFonts w:cstheme="minorHAnsi"/>
                <w:b/>
                <w:bCs/>
                <w:i/>
                <w:iCs/>
                <w:sz w:val="20"/>
                <w:szCs w:val="20"/>
              </w:rPr>
              <w:t>Proposed definition in HEMRM 2023-01, from HG meeting April 2023:</w:t>
            </w:r>
          </w:p>
          <w:p w14:paraId="11BC3265" w14:textId="77777777" w:rsidR="0073724E" w:rsidRPr="0036702B" w:rsidRDefault="0073724E" w:rsidP="0073724E">
            <w:r w:rsidRPr="0036702B">
              <w:t>A party that aggregates Resources for usage by other market participants.</w:t>
            </w:r>
          </w:p>
          <w:p w14:paraId="7BE60AF4" w14:textId="77777777" w:rsidR="0073724E" w:rsidRPr="0036702B" w:rsidRDefault="0073724E" w:rsidP="0073724E">
            <w:pPr>
              <w:spacing w:after="0"/>
              <w:rPr>
                <w:b/>
                <w:bCs/>
              </w:rPr>
            </w:pPr>
            <w:r w:rsidRPr="0036702B">
              <w:rPr>
                <w:b/>
                <w:bCs/>
              </w:rPr>
              <w:t>Additional information:</w:t>
            </w:r>
          </w:p>
          <w:p w14:paraId="7FCED1E0" w14:textId="433F30AC" w:rsidR="0073724E" w:rsidRPr="0066750A" w:rsidRDefault="0073724E" w:rsidP="0073724E">
            <w:pPr>
              <w:rPr>
                <w:rFonts w:cstheme="minorHAnsi"/>
              </w:rPr>
            </w:pPr>
            <w:r w:rsidRPr="0036702B">
              <w:t>The aggregation must be defined by market rules</w:t>
            </w:r>
          </w:p>
        </w:tc>
        <w:tc>
          <w:tcPr>
            <w:tcW w:w="4043" w:type="dxa"/>
          </w:tcPr>
          <w:p w14:paraId="4EFD9144" w14:textId="4870661A" w:rsidR="00BB3D20" w:rsidRPr="0066750A" w:rsidRDefault="00BB3D20" w:rsidP="00BB3D20">
            <w:pPr>
              <w:spacing w:after="0"/>
              <w:rPr>
                <w:rFonts w:cstheme="minorHAnsi"/>
                <w:b/>
                <w:bCs/>
                <w:i/>
                <w:iCs/>
              </w:rPr>
            </w:pPr>
            <w:r w:rsidRPr="0066750A">
              <w:rPr>
                <w:rFonts w:cstheme="minorHAnsi"/>
                <w:b/>
                <w:bCs/>
                <w:i/>
                <w:iCs/>
              </w:rPr>
              <w:t>20230417:</w:t>
            </w:r>
          </w:p>
          <w:p w14:paraId="3CE69970" w14:textId="672D506A" w:rsidR="00392433" w:rsidRPr="0073724E" w:rsidRDefault="0073724E" w:rsidP="0073724E">
            <w:pPr>
              <w:pStyle w:val="ListParagraph"/>
              <w:numPr>
                <w:ilvl w:val="0"/>
                <w:numId w:val="24"/>
              </w:numPr>
            </w:pPr>
            <w:r>
              <w:t>No comments</w:t>
            </w:r>
          </w:p>
        </w:tc>
      </w:tr>
      <w:tr w:rsidR="002A41AC" w:rsidRPr="0066750A" w14:paraId="6E535E32" w14:textId="77777777" w:rsidTr="00F600E4">
        <w:trPr>
          <w:cantSplit/>
          <w:tblCellSpacing w:w="15" w:type="dxa"/>
        </w:trPr>
        <w:tc>
          <w:tcPr>
            <w:tcW w:w="556" w:type="dxa"/>
            <w:tcBorders>
              <w:top w:val="single" w:sz="4" w:space="0" w:color="auto"/>
              <w:left w:val="single" w:sz="4" w:space="0" w:color="auto"/>
              <w:bottom w:val="single" w:sz="4" w:space="0" w:color="auto"/>
              <w:right w:val="single" w:sz="4" w:space="0" w:color="auto"/>
            </w:tcBorders>
            <w:vAlign w:val="center"/>
          </w:tcPr>
          <w:p w14:paraId="10367BC3" w14:textId="77777777" w:rsidR="002A41AC" w:rsidRPr="0066750A" w:rsidRDefault="002A41AC" w:rsidP="00964227">
            <w:pPr>
              <w:rPr>
                <w:rFonts w:cstheme="minorHAnsi"/>
              </w:rPr>
            </w:pPr>
            <w:r w:rsidRPr="0066750A">
              <w:rPr>
                <w:rFonts w:cstheme="minorHAnsi"/>
              </w:rPr>
              <w:lastRenderedPageBreak/>
              <w:t>Role</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536B3E5" w14:textId="77777777" w:rsidR="002A41AC" w:rsidRPr="0066750A" w:rsidRDefault="002A41AC" w:rsidP="00964227">
            <w:pPr>
              <w:rPr>
                <w:rFonts w:cstheme="minorHAnsi"/>
              </w:rPr>
            </w:pPr>
            <w:r w:rsidRPr="0066750A">
              <w:rPr>
                <w:rFonts w:cstheme="minorHAnsi"/>
              </w:rPr>
              <w:t>Resource Capacity Mechanism Operator</w:t>
            </w:r>
          </w:p>
        </w:tc>
        <w:tc>
          <w:tcPr>
            <w:tcW w:w="3912" w:type="dxa"/>
            <w:tcBorders>
              <w:top w:val="single" w:sz="4" w:space="0" w:color="auto"/>
              <w:left w:val="single" w:sz="4" w:space="0" w:color="auto"/>
              <w:bottom w:val="single" w:sz="4" w:space="0" w:color="auto"/>
              <w:right w:val="single" w:sz="4" w:space="0" w:color="auto"/>
            </w:tcBorders>
            <w:vAlign w:val="center"/>
            <w:hideMark/>
          </w:tcPr>
          <w:p w14:paraId="6EA019AD" w14:textId="77777777" w:rsidR="002A41AC" w:rsidRPr="0066750A" w:rsidRDefault="002A41AC" w:rsidP="00964227">
            <w:pPr>
              <w:rPr>
                <w:rFonts w:cstheme="minorHAnsi"/>
              </w:rPr>
            </w:pPr>
            <w:r w:rsidRPr="0066750A">
              <w:rPr>
                <w:rFonts w:cstheme="minorHAnsi"/>
              </w:rPr>
              <w:t xml:space="preserve">A party responsible to operate the resource capacity mechanism in a member state. </w:t>
            </w:r>
          </w:p>
          <w:p w14:paraId="0F05F89D" w14:textId="77777777" w:rsidR="002A41AC" w:rsidRPr="0066750A" w:rsidRDefault="002A41AC" w:rsidP="00964227">
            <w:pPr>
              <w:rPr>
                <w:rFonts w:cstheme="minorHAnsi"/>
                <w:b/>
              </w:rPr>
            </w:pPr>
            <w:r w:rsidRPr="0066750A">
              <w:rPr>
                <w:rFonts w:cstheme="minorHAnsi"/>
                <w:b/>
              </w:rPr>
              <w:t xml:space="preserve">Additional information: </w:t>
            </w:r>
          </w:p>
          <w:p w14:paraId="731F4EC3" w14:textId="77777777" w:rsidR="002A41AC" w:rsidRPr="0066750A" w:rsidRDefault="002A41AC" w:rsidP="00964227">
            <w:pPr>
              <w:rPr>
                <w:rFonts w:cstheme="minorHAnsi"/>
              </w:rPr>
            </w:pPr>
            <w:r w:rsidRPr="0066750A">
              <w:rPr>
                <w:rFonts w:cstheme="minorHAnsi"/>
              </w:rPr>
              <w:t>It can either be the TSO or an independent party. A Resource Capacity Mechanism Operator can contract one or several Resource capacity market units, and a resource capacity market unit can only be contracted by one Resource Capacity Mechanism Operator.</w:t>
            </w:r>
          </w:p>
        </w:tc>
        <w:tc>
          <w:tcPr>
            <w:tcW w:w="4043" w:type="dxa"/>
            <w:tcBorders>
              <w:top w:val="single" w:sz="4" w:space="0" w:color="auto"/>
              <w:left w:val="single" w:sz="4" w:space="0" w:color="auto"/>
              <w:bottom w:val="single" w:sz="4" w:space="0" w:color="auto"/>
              <w:right w:val="single" w:sz="4" w:space="0" w:color="auto"/>
            </w:tcBorders>
          </w:tcPr>
          <w:p w14:paraId="131D83BB" w14:textId="77777777" w:rsidR="002A41AC" w:rsidRPr="0066750A" w:rsidRDefault="00392433" w:rsidP="00964227">
            <w:pPr>
              <w:rPr>
                <w:rFonts w:cstheme="minorHAnsi"/>
              </w:rPr>
            </w:pPr>
            <w:r w:rsidRPr="0066750A">
              <w:rPr>
                <w:rFonts w:cstheme="minorHAnsi"/>
              </w:rPr>
              <w:t>TSO responsibility.</w:t>
            </w:r>
          </w:p>
        </w:tc>
      </w:tr>
      <w:tr w:rsidR="002A41AC" w:rsidRPr="0066750A" w14:paraId="04E84145" w14:textId="77777777" w:rsidTr="00F600E4">
        <w:trPr>
          <w:cantSplit/>
          <w:tblCellSpacing w:w="15" w:type="dxa"/>
        </w:trPr>
        <w:tc>
          <w:tcPr>
            <w:tcW w:w="556" w:type="dxa"/>
            <w:vAlign w:val="center"/>
            <w:hideMark/>
          </w:tcPr>
          <w:p w14:paraId="0F518606" w14:textId="77777777" w:rsidR="002A41AC" w:rsidRPr="0066750A" w:rsidRDefault="002A41AC" w:rsidP="00964227">
            <w:pPr>
              <w:rPr>
                <w:rFonts w:cstheme="minorHAnsi"/>
              </w:rPr>
            </w:pPr>
            <w:r w:rsidRPr="0066750A">
              <w:rPr>
                <w:rFonts w:cstheme="minorHAnsi"/>
              </w:rPr>
              <w:t>Role</w:t>
            </w:r>
          </w:p>
        </w:tc>
        <w:tc>
          <w:tcPr>
            <w:tcW w:w="1518" w:type="dxa"/>
            <w:vAlign w:val="center"/>
          </w:tcPr>
          <w:p w14:paraId="458F5059" w14:textId="77777777" w:rsidR="002A41AC" w:rsidRPr="0066750A" w:rsidRDefault="002A41AC" w:rsidP="00964227">
            <w:pPr>
              <w:rPr>
                <w:rFonts w:cstheme="minorHAnsi"/>
              </w:rPr>
            </w:pPr>
            <w:r w:rsidRPr="0066750A">
              <w:rPr>
                <w:rFonts w:cstheme="minorHAnsi"/>
              </w:rPr>
              <w:t>Resource Provider</w:t>
            </w:r>
          </w:p>
        </w:tc>
        <w:tc>
          <w:tcPr>
            <w:tcW w:w="3912" w:type="dxa"/>
            <w:vAlign w:val="center"/>
          </w:tcPr>
          <w:p w14:paraId="260A3AB4" w14:textId="77777777" w:rsidR="002A41AC" w:rsidRPr="0066750A" w:rsidRDefault="002A41AC" w:rsidP="00964227">
            <w:pPr>
              <w:rPr>
                <w:rFonts w:cstheme="minorHAnsi"/>
              </w:rPr>
            </w:pPr>
            <w:r w:rsidRPr="0066750A">
              <w:rPr>
                <w:rFonts w:cstheme="minorHAnsi"/>
              </w:rPr>
              <w:t>A role that manages a resource and provides production/consumption schedules for it, if required.</w:t>
            </w:r>
          </w:p>
        </w:tc>
        <w:tc>
          <w:tcPr>
            <w:tcW w:w="4043" w:type="dxa"/>
          </w:tcPr>
          <w:p w14:paraId="717AD318" w14:textId="77777777" w:rsidR="002A41AC" w:rsidRPr="0066750A" w:rsidRDefault="002A41AC" w:rsidP="00964227">
            <w:pPr>
              <w:rPr>
                <w:rFonts w:cstheme="minorHAnsi"/>
                <w:b/>
                <w:bCs/>
              </w:rPr>
            </w:pPr>
            <w:r w:rsidRPr="0066750A">
              <w:rPr>
                <w:rFonts w:cstheme="minorHAnsi"/>
                <w:b/>
                <w:bCs/>
              </w:rPr>
              <w:t>20230109:</w:t>
            </w:r>
          </w:p>
          <w:p w14:paraId="10013968"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 xml:space="preserve">We are uncertain of the meaning of “manages” in this context and we doubt it is the Resource Provider that sends (regular/daily) schedules for the Resource.  </w:t>
            </w:r>
          </w:p>
          <w:p w14:paraId="1A03FDA9"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Rephrase to</w:t>
            </w:r>
            <w:r w:rsidRPr="0066750A">
              <w:rPr>
                <w:rFonts w:asciiTheme="minorHAnsi" w:hAnsiTheme="minorHAnsi"/>
                <w:b/>
              </w:rPr>
              <w:t>:</w:t>
            </w:r>
          </w:p>
          <w:p w14:paraId="40B89992" w14:textId="440E476E" w:rsidR="00312451" w:rsidRPr="0066750A" w:rsidRDefault="002A41AC" w:rsidP="000E1A29">
            <w:pPr>
              <w:pStyle w:val="ListParagraph"/>
              <w:numPr>
                <w:ilvl w:val="0"/>
                <w:numId w:val="0"/>
              </w:numPr>
              <w:ind w:left="387"/>
              <w:rPr>
                <w:rFonts w:asciiTheme="minorHAnsi" w:hAnsiTheme="minorHAnsi"/>
              </w:rPr>
            </w:pPr>
            <w:r w:rsidRPr="0066750A">
              <w:rPr>
                <w:rFonts w:asciiTheme="minorHAnsi" w:hAnsiTheme="minorHAnsi"/>
                <w:i/>
                <w:iCs/>
              </w:rPr>
              <w:t xml:space="preserve">A party that provides a </w:t>
            </w:r>
            <w:r w:rsidR="000E1A29" w:rsidRPr="0066750A">
              <w:rPr>
                <w:rFonts w:asciiTheme="minorHAnsi" w:hAnsiTheme="minorHAnsi"/>
                <w:i/>
                <w:iCs/>
              </w:rPr>
              <w:t>R</w:t>
            </w:r>
            <w:r w:rsidR="0092250F" w:rsidRPr="0066750A">
              <w:rPr>
                <w:rFonts w:asciiTheme="minorHAnsi" w:hAnsiTheme="minorHAnsi"/>
              </w:rPr>
              <w:t>esource to the flexibility energy market</w:t>
            </w:r>
            <w:r w:rsidRPr="0066750A">
              <w:rPr>
                <w:rFonts w:asciiTheme="minorHAnsi" w:hAnsiTheme="minorHAnsi"/>
                <w:i/>
                <w:iCs/>
              </w:rPr>
              <w:t>.</w:t>
            </w:r>
          </w:p>
        </w:tc>
      </w:tr>
      <w:tr w:rsidR="002A41AC" w:rsidRPr="0066750A" w14:paraId="658A979D" w14:textId="77777777" w:rsidTr="00F600E4">
        <w:trPr>
          <w:cantSplit/>
          <w:tblCellSpacing w:w="15" w:type="dxa"/>
        </w:trPr>
        <w:tc>
          <w:tcPr>
            <w:tcW w:w="556" w:type="dxa"/>
            <w:vAlign w:val="center"/>
            <w:hideMark/>
          </w:tcPr>
          <w:p w14:paraId="5D1CB5A1"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170B8DB" w14:textId="77777777" w:rsidR="002A41AC" w:rsidRPr="0066750A" w:rsidRDefault="002A41AC" w:rsidP="00964227">
            <w:pPr>
              <w:rPr>
                <w:rFonts w:cstheme="minorHAnsi"/>
              </w:rPr>
            </w:pPr>
            <w:r w:rsidRPr="0066750A">
              <w:rPr>
                <w:rFonts w:cstheme="minorHAnsi"/>
              </w:rPr>
              <w:t xml:space="preserve">Scheduling </w:t>
            </w:r>
          </w:p>
          <w:p w14:paraId="4C707B74" w14:textId="77777777" w:rsidR="002A41AC" w:rsidRPr="0066750A" w:rsidRDefault="002A41AC" w:rsidP="00964227">
            <w:pPr>
              <w:rPr>
                <w:rFonts w:cstheme="minorHAnsi"/>
                <w:lang w:eastAsia="en-US"/>
              </w:rPr>
            </w:pPr>
            <w:r w:rsidRPr="0066750A">
              <w:rPr>
                <w:rFonts w:cstheme="minorHAnsi"/>
                <w:lang w:eastAsia="en-US"/>
              </w:rPr>
              <w:t>Agent</w:t>
            </w:r>
          </w:p>
        </w:tc>
        <w:tc>
          <w:tcPr>
            <w:tcW w:w="3912" w:type="dxa"/>
            <w:vAlign w:val="center"/>
          </w:tcPr>
          <w:p w14:paraId="123CFF70" w14:textId="77777777" w:rsidR="002A41AC" w:rsidRPr="0066750A" w:rsidRDefault="002A41AC" w:rsidP="00964227">
            <w:pPr>
              <w:rPr>
                <w:rFonts w:cstheme="minorHAnsi"/>
              </w:rPr>
            </w:pPr>
            <w:r w:rsidRPr="0066750A">
              <w:rPr>
                <w:rFonts w:cstheme="minorHAnsi"/>
              </w:rPr>
              <w:t>The entity or entities with the task of providing schedules.</w:t>
            </w:r>
          </w:p>
          <w:p w14:paraId="49202D8D" w14:textId="77777777" w:rsidR="002A41AC" w:rsidRPr="0066750A" w:rsidRDefault="002A41AC" w:rsidP="00964227">
            <w:pPr>
              <w:rPr>
                <w:rFonts w:cstheme="minorHAnsi"/>
              </w:rPr>
            </w:pPr>
            <w:r w:rsidRPr="0066750A">
              <w:rPr>
                <w:rFonts w:cstheme="minorHAnsi"/>
                <w:bCs/>
              </w:rPr>
              <w:t>Source:</w:t>
            </w:r>
            <w:r w:rsidRPr="0066750A">
              <w:rPr>
                <w:rFonts w:cstheme="minorHAnsi"/>
              </w:rPr>
              <w:t xml:space="preserve"> </w:t>
            </w:r>
            <w:hyperlink r:id="rId21" w:anchor="d1e394-1-1" w:history="1">
              <w:r w:rsidRPr="0066750A">
                <w:rPr>
                  <w:rStyle w:val="Hyperlink"/>
                  <w:rFonts w:cstheme="minorHAnsi"/>
                </w:rPr>
                <w:t>System Operation Guideline, Commission Regulation (EU) 2017/1485.</w:t>
              </w:r>
            </w:hyperlink>
          </w:p>
          <w:p w14:paraId="72804719" w14:textId="77777777" w:rsidR="002A41AC" w:rsidRPr="0066750A" w:rsidRDefault="002A41AC" w:rsidP="00964227">
            <w:pPr>
              <w:rPr>
                <w:rFonts w:cstheme="minorHAnsi"/>
                <w:b/>
                <w:bCs/>
              </w:rPr>
            </w:pPr>
            <w:r w:rsidRPr="0066750A">
              <w:rPr>
                <w:rFonts w:cstheme="minorHAnsi"/>
                <w:b/>
                <w:bCs/>
              </w:rPr>
              <w:t>Additional information:</w:t>
            </w:r>
          </w:p>
          <w:p w14:paraId="3E3471DC" w14:textId="77777777" w:rsidR="002A41AC" w:rsidRPr="0066750A" w:rsidRDefault="002A41AC" w:rsidP="00964227">
            <w:pPr>
              <w:rPr>
                <w:rFonts w:cstheme="minorHAnsi"/>
              </w:rPr>
            </w:pPr>
            <w:r w:rsidRPr="0066750A">
              <w:rPr>
                <w:rFonts w:cstheme="minorHAnsi"/>
              </w:rPr>
              <w:t>A party that is responsible for the schedule information and its exchange on behalf of a Balance Responsible Party.</w:t>
            </w:r>
          </w:p>
        </w:tc>
        <w:tc>
          <w:tcPr>
            <w:tcW w:w="4043" w:type="dxa"/>
          </w:tcPr>
          <w:p w14:paraId="7D00CE6C" w14:textId="77777777" w:rsidR="002A41AC" w:rsidRPr="0066750A" w:rsidRDefault="002A41AC" w:rsidP="00964227">
            <w:pPr>
              <w:rPr>
                <w:rFonts w:cstheme="minorHAnsi"/>
                <w:b/>
                <w:bCs/>
              </w:rPr>
            </w:pPr>
            <w:r w:rsidRPr="0066750A">
              <w:rPr>
                <w:rFonts w:cstheme="minorHAnsi"/>
                <w:b/>
                <w:bCs/>
              </w:rPr>
              <w:t>20230109:</w:t>
            </w:r>
          </w:p>
          <w:p w14:paraId="22FC0CB5"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 xml:space="preserve">We suggest replacing the “incomplete” copy of the definition from the SOGL, since gives not a good picture of the role. </w:t>
            </w:r>
          </w:p>
          <w:p w14:paraId="3A803ED1"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 xml:space="preserve">We would also suggest adding a definition of “schedule” somewhere in the HEMRM, e.g. as part of the introduction. </w:t>
            </w:r>
          </w:p>
          <w:p w14:paraId="64F6A134"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Rephrase to</w:t>
            </w:r>
            <w:r w:rsidRPr="0066750A">
              <w:rPr>
                <w:rFonts w:asciiTheme="minorHAnsi" w:hAnsiTheme="minorHAnsi"/>
                <w:b/>
              </w:rPr>
              <w:t>:</w:t>
            </w:r>
          </w:p>
          <w:p w14:paraId="64933A74" w14:textId="77777777" w:rsidR="002A41AC" w:rsidRPr="0066750A" w:rsidRDefault="002A41AC" w:rsidP="00964227">
            <w:pPr>
              <w:pStyle w:val="ListParagraph"/>
              <w:numPr>
                <w:ilvl w:val="0"/>
                <w:numId w:val="0"/>
              </w:numPr>
              <w:ind w:left="387"/>
              <w:rPr>
                <w:rFonts w:asciiTheme="minorHAnsi" w:hAnsiTheme="minorHAnsi"/>
                <w:i/>
                <w:iCs/>
              </w:rPr>
            </w:pPr>
            <w:r w:rsidRPr="0066750A">
              <w:rPr>
                <w:rFonts w:asciiTheme="minorHAnsi" w:hAnsiTheme="minorHAnsi"/>
                <w:i/>
                <w:iCs/>
              </w:rPr>
              <w:t>A party responsible for exchanging schedules for a set of Accounting Points on behalf of a Balance Responsible Party.</w:t>
            </w:r>
          </w:p>
          <w:p w14:paraId="7F3669ED" w14:textId="77777777" w:rsidR="00595E9C" w:rsidRPr="0066750A" w:rsidRDefault="00595E9C" w:rsidP="00BB3D20">
            <w:pPr>
              <w:pStyle w:val="ListParagraph"/>
              <w:numPr>
                <w:ilvl w:val="0"/>
                <w:numId w:val="27"/>
              </w:numPr>
              <w:autoSpaceDE/>
              <w:autoSpaceDN/>
              <w:ind w:left="387" w:hanging="218"/>
              <w:rPr>
                <w:rFonts w:asciiTheme="minorHAnsi" w:hAnsiTheme="minorHAnsi"/>
                <w:i/>
                <w:iCs/>
              </w:rPr>
            </w:pPr>
            <w:r w:rsidRPr="0066750A">
              <w:rPr>
                <w:rFonts w:asciiTheme="minorHAnsi" w:hAnsiTheme="minorHAnsi"/>
                <w:i/>
                <w:iCs/>
              </w:rPr>
              <w:t>Alternative to the above comments: Deprecate the Scheduling Agent</w:t>
            </w:r>
          </w:p>
        </w:tc>
      </w:tr>
      <w:tr w:rsidR="002A41AC" w:rsidRPr="0066750A" w14:paraId="06241CE1" w14:textId="77777777" w:rsidTr="00F600E4">
        <w:trPr>
          <w:cantSplit/>
          <w:tblCellSpacing w:w="15" w:type="dxa"/>
        </w:trPr>
        <w:tc>
          <w:tcPr>
            <w:tcW w:w="556" w:type="dxa"/>
            <w:vAlign w:val="center"/>
          </w:tcPr>
          <w:p w14:paraId="10E75F3E"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173D9502" w14:textId="77777777" w:rsidR="002A41AC" w:rsidRPr="0066750A" w:rsidRDefault="002A41AC" w:rsidP="00964227">
            <w:pPr>
              <w:rPr>
                <w:rFonts w:cstheme="minorHAnsi"/>
              </w:rPr>
            </w:pPr>
            <w:r w:rsidRPr="0066750A">
              <w:rPr>
                <w:rFonts w:cstheme="minorHAnsi"/>
              </w:rPr>
              <w:t>Scheduling Area Responsible</w:t>
            </w:r>
          </w:p>
        </w:tc>
        <w:tc>
          <w:tcPr>
            <w:tcW w:w="3912" w:type="dxa"/>
            <w:vAlign w:val="center"/>
          </w:tcPr>
          <w:p w14:paraId="308A2C25" w14:textId="77777777" w:rsidR="002A41AC" w:rsidRPr="0066750A" w:rsidRDefault="002A41AC" w:rsidP="00964227">
            <w:pPr>
              <w:rPr>
                <w:rFonts w:cstheme="minorHAnsi"/>
              </w:rPr>
            </w:pPr>
            <w:r w:rsidRPr="0066750A">
              <w:rPr>
                <w:rFonts w:cstheme="minorHAnsi"/>
              </w:rPr>
              <w:t>A party responsible for the coordination of nominated volumes within a scheduling area.</w:t>
            </w:r>
          </w:p>
          <w:p w14:paraId="3FCC46AE" w14:textId="77777777" w:rsidR="002A41AC" w:rsidRPr="0066750A" w:rsidRDefault="002A41AC" w:rsidP="00964227">
            <w:pPr>
              <w:rPr>
                <w:rFonts w:cstheme="minorHAnsi"/>
                <w:b/>
                <w:bCs/>
              </w:rPr>
            </w:pPr>
            <w:r w:rsidRPr="0066750A">
              <w:rPr>
                <w:rFonts w:cstheme="minorHAnsi"/>
                <w:b/>
                <w:bCs/>
              </w:rPr>
              <w:t>Additional information:</w:t>
            </w:r>
          </w:p>
          <w:p w14:paraId="1AC066BE" w14:textId="77777777" w:rsidR="002A41AC" w:rsidRPr="0066750A" w:rsidRDefault="002A41AC" w:rsidP="00964227">
            <w:pPr>
              <w:rPr>
                <w:rFonts w:cstheme="minorHAnsi"/>
              </w:rPr>
            </w:pPr>
            <w:r w:rsidRPr="0066750A">
              <w:rPr>
                <w:rFonts w:cstheme="minorHAnsi"/>
              </w:rPr>
              <w:t>This role is typically performed by a TSO.</w:t>
            </w:r>
          </w:p>
        </w:tc>
        <w:tc>
          <w:tcPr>
            <w:tcW w:w="4043" w:type="dxa"/>
          </w:tcPr>
          <w:p w14:paraId="62323F38" w14:textId="77777777" w:rsidR="002A41AC" w:rsidRPr="0066750A" w:rsidRDefault="002A41AC" w:rsidP="00964227">
            <w:pPr>
              <w:rPr>
                <w:rFonts w:cstheme="minorHAnsi"/>
                <w:b/>
                <w:bCs/>
              </w:rPr>
            </w:pPr>
            <w:r w:rsidRPr="0066750A">
              <w:rPr>
                <w:rFonts w:cstheme="minorHAnsi"/>
                <w:b/>
                <w:bCs/>
              </w:rPr>
              <w:t>20230116:</w:t>
            </w:r>
          </w:p>
          <w:p w14:paraId="3CB02A06" w14:textId="77777777" w:rsidR="002A41AC" w:rsidRPr="0066750A" w:rsidRDefault="002A41AC" w:rsidP="002A41AC">
            <w:pPr>
              <w:pStyle w:val="ListParagraph"/>
              <w:numPr>
                <w:ilvl w:val="0"/>
                <w:numId w:val="27"/>
              </w:numPr>
              <w:autoSpaceDE/>
              <w:autoSpaceDN/>
              <w:ind w:left="387" w:hanging="218"/>
              <w:rPr>
                <w:rFonts w:asciiTheme="minorHAnsi" w:hAnsiTheme="minorHAnsi"/>
                <w:lang w:eastAsia="nb-NO"/>
              </w:rPr>
            </w:pPr>
            <w:r w:rsidRPr="0066750A">
              <w:rPr>
                <w:rStyle w:val="cf01"/>
                <w:rFonts w:asciiTheme="minorHAnsi" w:hAnsiTheme="minorHAnsi" w:cstheme="minorHAnsi"/>
                <w:sz w:val="22"/>
                <w:szCs w:val="22"/>
              </w:rPr>
              <w:t>What does coordination mean here (collection, aggregation, distribution ….)?</w:t>
            </w:r>
            <w:r w:rsidRPr="0066750A">
              <w:rPr>
                <w:rFonts w:asciiTheme="minorHAnsi" w:hAnsiTheme="minorHAnsi"/>
                <w:lang w:eastAsia="nb-NO"/>
              </w:rPr>
              <w:t xml:space="preserve"> </w:t>
            </w:r>
          </w:p>
          <w:p w14:paraId="4D490A7C" w14:textId="77777777" w:rsidR="002A41AC" w:rsidRPr="0066750A" w:rsidRDefault="002A41AC" w:rsidP="00964227">
            <w:pPr>
              <w:rPr>
                <w:rFonts w:cstheme="minorHAnsi"/>
              </w:rPr>
            </w:pPr>
          </w:p>
        </w:tc>
      </w:tr>
      <w:tr w:rsidR="002A41AC" w:rsidRPr="0066750A" w14:paraId="695551EC" w14:textId="77777777" w:rsidTr="00F600E4">
        <w:trPr>
          <w:cantSplit/>
          <w:tblCellSpacing w:w="15" w:type="dxa"/>
        </w:trPr>
        <w:tc>
          <w:tcPr>
            <w:tcW w:w="556" w:type="dxa"/>
            <w:vAlign w:val="center"/>
          </w:tcPr>
          <w:p w14:paraId="32749172" w14:textId="77777777" w:rsidR="002A41AC" w:rsidRPr="0066750A" w:rsidRDefault="002A41AC" w:rsidP="00964227">
            <w:pPr>
              <w:rPr>
                <w:rFonts w:cstheme="minorHAnsi"/>
              </w:rPr>
            </w:pPr>
            <w:r w:rsidRPr="0066750A">
              <w:rPr>
                <w:rFonts w:cstheme="minorHAnsi"/>
              </w:rPr>
              <w:t>Role</w:t>
            </w:r>
          </w:p>
        </w:tc>
        <w:tc>
          <w:tcPr>
            <w:tcW w:w="1518" w:type="dxa"/>
            <w:vAlign w:val="center"/>
          </w:tcPr>
          <w:p w14:paraId="3CFC949C" w14:textId="77777777" w:rsidR="002A41AC" w:rsidRPr="0066750A" w:rsidRDefault="002A41AC" w:rsidP="00964227">
            <w:pPr>
              <w:rPr>
                <w:rFonts w:cstheme="minorHAnsi"/>
              </w:rPr>
            </w:pPr>
            <w:r w:rsidRPr="0066750A">
              <w:rPr>
                <w:rFonts w:cstheme="minorHAnsi"/>
              </w:rPr>
              <w:t>System Operator</w:t>
            </w:r>
          </w:p>
        </w:tc>
        <w:tc>
          <w:tcPr>
            <w:tcW w:w="3912" w:type="dxa"/>
            <w:vAlign w:val="center"/>
          </w:tcPr>
          <w:p w14:paraId="40DE087A" w14:textId="77777777" w:rsidR="002A41AC" w:rsidRPr="0066750A" w:rsidRDefault="002A41AC" w:rsidP="00964227">
            <w:pPr>
              <w:rPr>
                <w:rFonts w:cstheme="minorHAnsi"/>
              </w:rPr>
            </w:pPr>
            <w:r w:rsidRPr="0066750A">
              <w:rPr>
                <w:rFonts w:cstheme="minorHAnsi"/>
              </w:rPr>
              <w:t xml:space="preserve">A party responsible for operating, ensuring the maintenance of and, if necessary, developing the system </w:t>
            </w:r>
            <w:proofErr w:type="gramStart"/>
            <w:r w:rsidRPr="0066750A">
              <w:rPr>
                <w:rFonts w:cstheme="minorHAnsi"/>
              </w:rPr>
              <w:t>in a given</w:t>
            </w:r>
            <w:proofErr w:type="gramEnd"/>
            <w:r w:rsidRPr="0066750A">
              <w:rPr>
                <w:rFonts w:cstheme="minorHAnsi"/>
              </w:rPr>
              <w:t xml:space="preserve"> area and, where applicable, its interconnections with other systems, and for ensuring the long-term ability of the system to meet reasonable demands for the distribution or transmission of electricity.</w:t>
            </w:r>
          </w:p>
          <w:p w14:paraId="20F80810" w14:textId="77777777" w:rsidR="002A41AC" w:rsidRPr="0066750A" w:rsidRDefault="002A41AC" w:rsidP="00964227">
            <w:pPr>
              <w:rPr>
                <w:rFonts w:cstheme="minorHAnsi"/>
                <w:b/>
                <w:bCs/>
              </w:rPr>
            </w:pPr>
            <w:r w:rsidRPr="0066750A">
              <w:rPr>
                <w:rFonts w:cstheme="minorHAnsi"/>
                <w:b/>
                <w:bCs/>
              </w:rPr>
              <w:t>Additional information:</w:t>
            </w:r>
          </w:p>
          <w:p w14:paraId="665A1C2F" w14:textId="77777777" w:rsidR="002A41AC" w:rsidRPr="0066750A" w:rsidRDefault="002A41AC" w:rsidP="00964227">
            <w:pPr>
              <w:rPr>
                <w:rFonts w:cstheme="minorHAnsi"/>
              </w:rPr>
            </w:pPr>
            <w:r w:rsidRPr="0066750A">
              <w:rPr>
                <w:rFonts w:cstheme="minorHAnsi"/>
              </w:rPr>
              <w:t xml:space="preserve">The definition is based on </w:t>
            </w:r>
            <w:hyperlink r:id="rId22" w:anchor="d1e671-55-1" w:history="1">
              <w:r w:rsidRPr="0066750A">
                <w:rPr>
                  <w:rStyle w:val="Hyperlink"/>
                  <w:rFonts w:cstheme="minorHAnsi"/>
                </w:rPr>
                <w:t>DIRECTIVE 2009/72/EC OF THE EUROPEAN PARLIAMENT AND OF THE COUNCIL of 13 July 2009 concerning common rules for the internal market in electricity and repealing Directive 2003/54/EC, Article 2 (Definitions).</w:t>
              </w:r>
            </w:hyperlink>
          </w:p>
        </w:tc>
        <w:tc>
          <w:tcPr>
            <w:tcW w:w="4043" w:type="dxa"/>
          </w:tcPr>
          <w:p w14:paraId="29F83721" w14:textId="77777777" w:rsidR="002A41AC" w:rsidRPr="0066750A" w:rsidRDefault="002A41AC" w:rsidP="00964227">
            <w:pPr>
              <w:rPr>
                <w:rFonts w:cstheme="minorHAnsi"/>
                <w:b/>
                <w:bCs/>
                <w:i/>
                <w:iCs/>
              </w:rPr>
            </w:pPr>
            <w:r w:rsidRPr="0066750A">
              <w:rPr>
                <w:rFonts w:cstheme="minorHAnsi"/>
                <w:b/>
                <w:bCs/>
                <w:i/>
                <w:iCs/>
              </w:rPr>
              <w:t>20230116:</w:t>
            </w:r>
          </w:p>
          <w:p w14:paraId="3267B0BA"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 xml:space="preserve"> Add a definition of “the system” in the introduction of the HEMRM.</w:t>
            </w:r>
          </w:p>
          <w:p w14:paraId="4EF38AD7"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Can we rename “given area” to “geographical area”?</w:t>
            </w:r>
          </w:p>
          <w:p w14:paraId="70222794"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Can we rename “other systems” to “systems in other geographical areas”?</w:t>
            </w:r>
          </w:p>
        </w:tc>
      </w:tr>
      <w:tr w:rsidR="002A41AC" w:rsidRPr="0066750A" w14:paraId="6E5F0E44" w14:textId="77777777" w:rsidTr="00F600E4">
        <w:trPr>
          <w:cantSplit/>
          <w:tblCellSpacing w:w="15" w:type="dxa"/>
        </w:trPr>
        <w:tc>
          <w:tcPr>
            <w:tcW w:w="556" w:type="dxa"/>
            <w:vAlign w:val="center"/>
            <w:hideMark/>
          </w:tcPr>
          <w:p w14:paraId="0934C000" w14:textId="77777777" w:rsidR="002A41AC" w:rsidRPr="0066750A" w:rsidRDefault="002A41AC" w:rsidP="00964227">
            <w:pPr>
              <w:rPr>
                <w:rFonts w:cstheme="minorHAnsi"/>
              </w:rPr>
            </w:pPr>
            <w:r w:rsidRPr="0066750A">
              <w:rPr>
                <w:rFonts w:cstheme="minorHAnsi"/>
              </w:rPr>
              <w:lastRenderedPageBreak/>
              <w:t>Role</w:t>
            </w:r>
          </w:p>
        </w:tc>
        <w:tc>
          <w:tcPr>
            <w:tcW w:w="1518" w:type="dxa"/>
            <w:vAlign w:val="center"/>
          </w:tcPr>
          <w:p w14:paraId="47B67DBE" w14:textId="77777777" w:rsidR="002A41AC" w:rsidRPr="0066750A" w:rsidRDefault="002A41AC" w:rsidP="00964227">
            <w:pPr>
              <w:rPr>
                <w:rFonts w:cstheme="minorHAnsi"/>
              </w:rPr>
            </w:pPr>
            <w:r w:rsidRPr="0066750A">
              <w:rPr>
                <w:rFonts w:cstheme="minorHAnsi"/>
              </w:rPr>
              <w:t>Trade Responsible Party</w:t>
            </w:r>
          </w:p>
        </w:tc>
        <w:tc>
          <w:tcPr>
            <w:tcW w:w="3912" w:type="dxa"/>
            <w:vAlign w:val="center"/>
          </w:tcPr>
          <w:p w14:paraId="3F02AF46" w14:textId="77777777" w:rsidR="002A41AC" w:rsidRPr="0066750A" w:rsidRDefault="002A41AC" w:rsidP="00964227">
            <w:pPr>
              <w:rPr>
                <w:rFonts w:cstheme="minorHAnsi"/>
              </w:rPr>
            </w:pPr>
            <w:r w:rsidRPr="0066750A">
              <w:rPr>
                <w:rFonts w:cstheme="minorHAnsi"/>
              </w:rPr>
              <w:t>A party who can be brought to rights, legally and financially, for any imbalance between energy nominated and consumed for all associated Accounting Points.</w:t>
            </w:r>
          </w:p>
          <w:p w14:paraId="650AF4AF" w14:textId="77777777" w:rsidR="002A41AC" w:rsidRPr="0066750A" w:rsidRDefault="002A41AC" w:rsidP="00964227">
            <w:pPr>
              <w:rPr>
                <w:rFonts w:cstheme="minorHAnsi"/>
              </w:rPr>
            </w:pPr>
            <w:r w:rsidRPr="0066750A">
              <w:rPr>
                <w:rFonts w:cstheme="minorHAnsi"/>
              </w:rPr>
              <w:t>Note:</w:t>
            </w:r>
          </w:p>
          <w:p w14:paraId="7059B8C2" w14:textId="77777777" w:rsidR="002A41AC" w:rsidRPr="0066750A" w:rsidRDefault="002A41AC" w:rsidP="00964227">
            <w:pPr>
              <w:rPr>
                <w:rFonts w:cstheme="minorHAnsi"/>
              </w:rPr>
            </w:pPr>
            <w:r w:rsidRPr="0066750A">
              <w:rPr>
                <w:rFonts w:cstheme="minorHAnsi"/>
              </w:rPr>
              <w:t xml:space="preserve">A power exchange without any privileged responsibilities acts as a Trade Responsible Party. </w:t>
            </w:r>
          </w:p>
          <w:p w14:paraId="3D11ECDA" w14:textId="77777777" w:rsidR="002A41AC" w:rsidRPr="0066750A" w:rsidRDefault="002A41AC" w:rsidP="00964227">
            <w:pPr>
              <w:rPr>
                <w:rFonts w:cstheme="minorHAnsi"/>
                <w:b/>
                <w:bCs/>
              </w:rPr>
            </w:pPr>
            <w:r w:rsidRPr="0066750A">
              <w:rPr>
                <w:rFonts w:cstheme="minorHAnsi"/>
                <w:b/>
                <w:bCs/>
              </w:rPr>
              <w:t>Additional information:</w:t>
            </w:r>
          </w:p>
          <w:p w14:paraId="73B84321" w14:textId="77777777" w:rsidR="002A41AC" w:rsidRPr="0066750A" w:rsidRDefault="002A41AC" w:rsidP="00964227">
            <w:pPr>
              <w:rPr>
                <w:rFonts w:cstheme="minorHAnsi"/>
              </w:rPr>
            </w:pPr>
            <w:r w:rsidRPr="0066750A">
              <w:rPr>
                <w:rFonts w:cstheme="minorHAnsi"/>
              </w:rPr>
              <w:t>This is a type of Balance Responsible Party.</w:t>
            </w:r>
          </w:p>
        </w:tc>
        <w:tc>
          <w:tcPr>
            <w:tcW w:w="4043" w:type="dxa"/>
          </w:tcPr>
          <w:p w14:paraId="7EF44451" w14:textId="77777777" w:rsidR="002A41AC" w:rsidRPr="0066750A" w:rsidRDefault="002A41AC" w:rsidP="00964227">
            <w:pPr>
              <w:rPr>
                <w:rFonts w:cstheme="minorHAnsi"/>
                <w:b/>
                <w:bCs/>
              </w:rPr>
            </w:pPr>
            <w:r w:rsidRPr="0066750A">
              <w:rPr>
                <w:rFonts w:cstheme="minorHAnsi"/>
                <w:b/>
                <w:bCs/>
              </w:rPr>
              <w:t>20230116:</w:t>
            </w:r>
          </w:p>
          <w:p w14:paraId="7BEDD706" w14:textId="77777777" w:rsidR="002A41AC" w:rsidRPr="0066750A" w:rsidRDefault="002A41AC" w:rsidP="002A41AC">
            <w:pPr>
              <w:pStyle w:val="ListParagraph"/>
              <w:numPr>
                <w:ilvl w:val="0"/>
                <w:numId w:val="27"/>
              </w:numPr>
              <w:autoSpaceDE/>
              <w:autoSpaceDN/>
              <w:ind w:left="387" w:hanging="218"/>
              <w:rPr>
                <w:rFonts w:asciiTheme="minorHAnsi" w:hAnsiTheme="minorHAnsi"/>
                <w:lang w:eastAsia="nb-NO"/>
              </w:rPr>
            </w:pPr>
            <w:r w:rsidRPr="0066750A">
              <w:rPr>
                <w:rStyle w:val="cf01"/>
                <w:rFonts w:asciiTheme="minorHAnsi" w:hAnsiTheme="minorHAnsi" w:cstheme="minorHAnsi"/>
                <w:sz w:val="22"/>
                <w:szCs w:val="22"/>
              </w:rPr>
              <w:t>Can we rename “</w:t>
            </w:r>
            <w:r w:rsidRPr="0066750A">
              <w:rPr>
                <w:rFonts w:asciiTheme="minorHAnsi" w:hAnsiTheme="minorHAnsi"/>
              </w:rPr>
              <w:t>who can be brought to rights,” to “responsible” (will make it more readable)</w:t>
            </w:r>
            <w:r w:rsidRPr="0066750A">
              <w:rPr>
                <w:rStyle w:val="cf01"/>
                <w:rFonts w:asciiTheme="minorHAnsi" w:hAnsiTheme="minorHAnsi" w:cstheme="minorHAnsi"/>
                <w:sz w:val="22"/>
                <w:szCs w:val="22"/>
              </w:rPr>
              <w:t>?</w:t>
            </w:r>
            <w:r w:rsidRPr="0066750A">
              <w:rPr>
                <w:rFonts w:asciiTheme="minorHAnsi" w:hAnsiTheme="minorHAnsi"/>
                <w:lang w:eastAsia="nb-NO"/>
              </w:rPr>
              <w:t xml:space="preserve"> </w:t>
            </w:r>
          </w:p>
        </w:tc>
      </w:tr>
      <w:tr w:rsidR="002A41AC" w:rsidRPr="0066750A" w14:paraId="1D450AE8" w14:textId="77777777" w:rsidTr="00F600E4">
        <w:trPr>
          <w:cantSplit/>
          <w:tblCellSpacing w:w="15" w:type="dxa"/>
        </w:trPr>
        <w:tc>
          <w:tcPr>
            <w:tcW w:w="556" w:type="dxa"/>
            <w:vAlign w:val="center"/>
            <w:hideMark/>
          </w:tcPr>
          <w:p w14:paraId="4FB3481B" w14:textId="77777777" w:rsidR="002A41AC" w:rsidRPr="0066750A" w:rsidRDefault="002A41AC" w:rsidP="00964227">
            <w:pPr>
              <w:rPr>
                <w:rFonts w:cstheme="minorHAnsi"/>
              </w:rPr>
            </w:pPr>
            <w:r w:rsidRPr="0066750A">
              <w:rPr>
                <w:rFonts w:cstheme="minorHAnsi"/>
              </w:rPr>
              <w:t>Role</w:t>
            </w:r>
          </w:p>
        </w:tc>
        <w:tc>
          <w:tcPr>
            <w:tcW w:w="1518" w:type="dxa"/>
            <w:vAlign w:val="center"/>
          </w:tcPr>
          <w:p w14:paraId="2BE201F6" w14:textId="77777777" w:rsidR="002A41AC" w:rsidRPr="0066750A" w:rsidRDefault="002A41AC" w:rsidP="00964227">
            <w:pPr>
              <w:rPr>
                <w:rFonts w:cstheme="minorHAnsi"/>
              </w:rPr>
            </w:pPr>
            <w:r w:rsidRPr="0066750A">
              <w:rPr>
                <w:rFonts w:cstheme="minorHAnsi"/>
              </w:rPr>
              <w:t>Transmission Capacity Allocator</w:t>
            </w:r>
          </w:p>
        </w:tc>
        <w:tc>
          <w:tcPr>
            <w:tcW w:w="3912" w:type="dxa"/>
            <w:vAlign w:val="center"/>
          </w:tcPr>
          <w:p w14:paraId="1871FF27" w14:textId="77777777" w:rsidR="002A41AC" w:rsidRPr="0066750A" w:rsidRDefault="002A41AC" w:rsidP="00964227">
            <w:pPr>
              <w:rPr>
                <w:rFonts w:cstheme="minorHAnsi"/>
              </w:rPr>
            </w:pPr>
            <w:r w:rsidRPr="0066750A">
              <w:rPr>
                <w:rFonts w:cstheme="minorHAnsi"/>
              </w:rPr>
              <w:t>The Transmission Capacity Allocator manages, on behalf of the System Operators, the allocation of available transmission capacity for a Bidding Zone Border. He offers the available transmission capacity to the market, allocates the available transmission capacity to individual Capacity Traders and calculates the billing amount of already allocated capacities to the Capacity Traders.</w:t>
            </w:r>
          </w:p>
          <w:p w14:paraId="68564B44" w14:textId="77777777" w:rsidR="002A41AC" w:rsidRPr="0066750A" w:rsidRDefault="002A41AC" w:rsidP="00964227">
            <w:pPr>
              <w:rPr>
                <w:rFonts w:cstheme="minorHAnsi"/>
                <w:b/>
                <w:bCs/>
              </w:rPr>
            </w:pPr>
            <w:r w:rsidRPr="0066750A">
              <w:rPr>
                <w:rFonts w:cstheme="minorHAnsi"/>
                <w:b/>
                <w:bCs/>
              </w:rPr>
              <w:t>Additional Information:</w:t>
            </w:r>
          </w:p>
          <w:p w14:paraId="51925036" w14:textId="77777777" w:rsidR="002A41AC" w:rsidRPr="0066750A" w:rsidRDefault="002A41AC" w:rsidP="00964227">
            <w:pPr>
              <w:rPr>
                <w:rFonts w:cstheme="minorHAnsi"/>
              </w:rPr>
            </w:pPr>
            <w:r w:rsidRPr="0066750A">
              <w:rPr>
                <w:rFonts w:cstheme="minorHAnsi"/>
              </w:rPr>
              <w:t>The single allocation platform established by all TSOs for Forward Capacity Allocation performs the role of a Transmission Capacity Allocator.</w:t>
            </w:r>
          </w:p>
        </w:tc>
        <w:tc>
          <w:tcPr>
            <w:tcW w:w="4043" w:type="dxa"/>
          </w:tcPr>
          <w:p w14:paraId="751BFFA8" w14:textId="77777777" w:rsidR="002A41AC" w:rsidRPr="0066750A" w:rsidRDefault="002A41AC" w:rsidP="00964227">
            <w:pPr>
              <w:rPr>
                <w:rFonts w:cstheme="minorHAnsi"/>
                <w:b/>
                <w:bCs/>
              </w:rPr>
            </w:pPr>
            <w:r w:rsidRPr="0066750A">
              <w:rPr>
                <w:rFonts w:cstheme="minorHAnsi"/>
                <w:b/>
                <w:bCs/>
              </w:rPr>
              <w:t>20230116:</w:t>
            </w:r>
          </w:p>
          <w:p w14:paraId="4E2BBA47"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It should be added a definition of “allocation” in the introduction to the HEMRM.</w:t>
            </w:r>
          </w:p>
          <w:p w14:paraId="7E962582" w14:textId="5566953D" w:rsidR="002A41AC" w:rsidRPr="0066750A" w:rsidRDefault="00595E9C" w:rsidP="00BB3D20">
            <w:pPr>
              <w:pStyle w:val="ListParagraph"/>
              <w:numPr>
                <w:ilvl w:val="0"/>
                <w:numId w:val="27"/>
              </w:numPr>
              <w:autoSpaceDE/>
              <w:autoSpaceDN/>
              <w:spacing w:after="0"/>
              <w:ind w:left="387" w:hanging="215"/>
              <w:rPr>
                <w:rFonts w:asciiTheme="minorHAnsi" w:hAnsiTheme="minorHAnsi"/>
              </w:rPr>
            </w:pPr>
            <w:r w:rsidRPr="0066750A">
              <w:rPr>
                <w:rFonts w:asciiTheme="minorHAnsi" w:hAnsiTheme="minorHAnsi"/>
                <w:i/>
                <w:iCs/>
              </w:rPr>
              <w:t>Rephrase to:</w:t>
            </w:r>
            <w:r w:rsidRPr="0066750A">
              <w:rPr>
                <w:rFonts w:asciiTheme="minorHAnsi" w:hAnsiTheme="minorHAnsi"/>
                <w:i/>
                <w:iCs/>
              </w:rPr>
              <w:br/>
            </w:r>
            <w:r w:rsidR="002A41AC" w:rsidRPr="0066750A">
              <w:rPr>
                <w:rFonts w:asciiTheme="minorHAnsi" w:hAnsiTheme="minorHAnsi"/>
                <w:i/>
                <w:iCs/>
              </w:rPr>
              <w:t xml:space="preserve">A party </w:t>
            </w:r>
            <w:r w:rsidR="00163242" w:rsidRPr="0066750A">
              <w:rPr>
                <w:rFonts w:asciiTheme="minorHAnsi" w:hAnsiTheme="minorHAnsi"/>
                <w:i/>
                <w:iCs/>
              </w:rPr>
              <w:t>that</w:t>
            </w:r>
            <w:r w:rsidR="002A41AC" w:rsidRPr="0066750A">
              <w:rPr>
                <w:rFonts w:asciiTheme="minorHAnsi" w:hAnsiTheme="minorHAnsi"/>
                <w:i/>
                <w:iCs/>
              </w:rPr>
              <w:t>, on behalf of one or more System Operator(s):</w:t>
            </w:r>
          </w:p>
          <w:p w14:paraId="6129E5C2" w14:textId="77777777" w:rsidR="002A41AC" w:rsidRPr="0066750A" w:rsidRDefault="002A41AC" w:rsidP="00595E9C">
            <w:pPr>
              <w:pStyle w:val="ListParagraph"/>
              <w:numPr>
                <w:ilvl w:val="1"/>
                <w:numId w:val="27"/>
              </w:numPr>
              <w:autoSpaceDE/>
              <w:autoSpaceDN/>
              <w:spacing w:after="0"/>
              <w:ind w:left="805" w:hanging="215"/>
              <w:rPr>
                <w:rFonts w:asciiTheme="minorHAnsi" w:hAnsiTheme="minorHAnsi"/>
                <w:i/>
                <w:iCs/>
              </w:rPr>
            </w:pPr>
            <w:r w:rsidRPr="0066750A">
              <w:rPr>
                <w:rFonts w:asciiTheme="minorHAnsi" w:hAnsiTheme="minorHAnsi"/>
                <w:i/>
                <w:iCs/>
              </w:rPr>
              <w:t xml:space="preserve">allocates available transmission capacity for a Bidding Zone </w:t>
            </w:r>
            <w:r w:rsidRPr="0066750A">
              <w:rPr>
                <w:rStyle w:val="cf01"/>
                <w:rFonts w:asciiTheme="minorHAnsi" w:hAnsiTheme="minorHAnsi" w:cstheme="minorHAnsi"/>
                <w:i/>
                <w:iCs/>
                <w:sz w:val="22"/>
                <w:szCs w:val="22"/>
              </w:rPr>
              <w:t>Border</w:t>
            </w:r>
            <w:r w:rsidRPr="0066750A">
              <w:rPr>
                <w:rFonts w:asciiTheme="minorHAnsi" w:hAnsiTheme="minorHAnsi"/>
                <w:i/>
                <w:iCs/>
              </w:rPr>
              <w:t xml:space="preserve"> to individual Capacity Traders,</w:t>
            </w:r>
          </w:p>
          <w:p w14:paraId="1F60354C" w14:textId="77777777" w:rsidR="00E84BDB" w:rsidRPr="0066750A" w:rsidRDefault="00E84BDB" w:rsidP="00BB3D20">
            <w:pPr>
              <w:pStyle w:val="ListParagraph"/>
              <w:numPr>
                <w:ilvl w:val="1"/>
                <w:numId w:val="27"/>
              </w:numPr>
              <w:autoSpaceDE/>
              <w:autoSpaceDN/>
              <w:spacing w:after="0"/>
              <w:ind w:left="805" w:hanging="215"/>
              <w:rPr>
                <w:rStyle w:val="cf01"/>
                <w:rFonts w:asciiTheme="minorHAnsi" w:hAnsiTheme="minorHAnsi" w:cstheme="minorHAnsi"/>
                <w:i/>
                <w:iCs/>
                <w:sz w:val="22"/>
                <w:szCs w:val="22"/>
              </w:rPr>
            </w:pPr>
            <w:r w:rsidRPr="0066750A">
              <w:rPr>
                <w:rStyle w:val="cf01"/>
                <w:rFonts w:asciiTheme="minorHAnsi" w:hAnsiTheme="minorHAnsi" w:cstheme="minorHAnsi"/>
                <w:i/>
                <w:iCs/>
                <w:sz w:val="22"/>
                <w:szCs w:val="22"/>
              </w:rPr>
              <w:t>manages one or more Bidding Zone Borders</w:t>
            </w:r>
          </w:p>
          <w:p w14:paraId="48E954B7" w14:textId="77777777" w:rsidR="002A41AC" w:rsidRPr="0066750A" w:rsidRDefault="002A41AC" w:rsidP="00BB3D20">
            <w:pPr>
              <w:pStyle w:val="ListParagraph"/>
              <w:numPr>
                <w:ilvl w:val="1"/>
                <w:numId w:val="27"/>
              </w:numPr>
              <w:autoSpaceDE/>
              <w:autoSpaceDN/>
              <w:spacing w:after="0"/>
              <w:ind w:left="805" w:hanging="215"/>
              <w:rPr>
                <w:rFonts w:asciiTheme="minorHAnsi" w:hAnsiTheme="minorHAnsi"/>
                <w:i/>
                <w:iCs/>
              </w:rPr>
            </w:pPr>
            <w:r w:rsidRPr="0066750A">
              <w:rPr>
                <w:rFonts w:asciiTheme="minorHAnsi" w:hAnsiTheme="minorHAnsi"/>
                <w:i/>
                <w:iCs/>
              </w:rPr>
              <w:t>offers the available transmission capacity to the market and</w:t>
            </w:r>
          </w:p>
          <w:p w14:paraId="3A63BB7C" w14:textId="77777777" w:rsidR="002A41AC" w:rsidRPr="0066750A" w:rsidRDefault="002A41AC" w:rsidP="002A41AC">
            <w:pPr>
              <w:pStyle w:val="ListParagraph"/>
              <w:numPr>
                <w:ilvl w:val="1"/>
                <w:numId w:val="27"/>
              </w:numPr>
              <w:autoSpaceDE/>
              <w:autoSpaceDN/>
              <w:ind w:left="805" w:hanging="218"/>
              <w:rPr>
                <w:rFonts w:asciiTheme="minorHAnsi" w:hAnsiTheme="minorHAnsi"/>
              </w:rPr>
            </w:pPr>
            <w:r w:rsidRPr="0066750A">
              <w:rPr>
                <w:rFonts w:asciiTheme="minorHAnsi" w:hAnsiTheme="minorHAnsi"/>
                <w:i/>
                <w:iCs/>
              </w:rPr>
              <w:t>calculates the billing amount of already allocated capacities to the Capacity Traders.</w:t>
            </w:r>
          </w:p>
          <w:p w14:paraId="1F1C5712" w14:textId="77777777" w:rsidR="002A41AC" w:rsidRPr="0066750A" w:rsidRDefault="002A41AC" w:rsidP="002A41AC">
            <w:pPr>
              <w:pStyle w:val="ListParagraph"/>
              <w:numPr>
                <w:ilvl w:val="0"/>
                <w:numId w:val="27"/>
              </w:numPr>
              <w:autoSpaceDE/>
              <w:autoSpaceDN/>
              <w:ind w:left="387" w:hanging="218"/>
              <w:rPr>
                <w:rFonts w:asciiTheme="minorHAnsi" w:hAnsiTheme="minorHAnsi"/>
              </w:rPr>
            </w:pPr>
            <w:r w:rsidRPr="0066750A">
              <w:rPr>
                <w:rFonts w:asciiTheme="minorHAnsi" w:hAnsiTheme="minorHAnsi"/>
              </w:rPr>
              <w:t>What is meant with “all System Operators”, “all European System Operators”?</w:t>
            </w:r>
          </w:p>
        </w:tc>
      </w:tr>
      <w:bookmarkEnd w:id="2"/>
    </w:tbl>
    <w:p w14:paraId="750CE694" w14:textId="77777777" w:rsidR="002A41AC" w:rsidRPr="0066750A" w:rsidRDefault="002A41AC" w:rsidP="002A41AC">
      <w:pPr>
        <w:autoSpaceDE/>
        <w:autoSpaceDN/>
        <w:spacing w:after="0"/>
        <w:rPr>
          <w:rFonts w:cstheme="minorHAnsi"/>
        </w:rPr>
      </w:pPr>
      <w:r w:rsidRPr="0066750A">
        <w:rPr>
          <w:rFonts w:cstheme="minorHAnsi"/>
        </w:rPr>
        <w:br w:type="page"/>
      </w:r>
    </w:p>
    <w:p w14:paraId="0AF6BB86" w14:textId="77777777" w:rsidR="002A41AC" w:rsidRPr="0066750A" w:rsidRDefault="002A41AC" w:rsidP="002A41AC">
      <w:pPr>
        <w:pStyle w:val="Appendix20"/>
        <w:numPr>
          <w:ilvl w:val="1"/>
          <w:numId w:val="7"/>
        </w:numPr>
        <w:ind w:left="567"/>
        <w:rPr>
          <w:rFonts w:cstheme="minorHAnsi"/>
        </w:rPr>
      </w:pPr>
      <w:r w:rsidRPr="0066750A">
        <w:rPr>
          <w:rFonts w:cstheme="minorHAnsi"/>
        </w:rPr>
        <w:lastRenderedPageBreak/>
        <w:t>Domains</w:t>
      </w:r>
    </w:p>
    <w:tbl>
      <w:tblPr>
        <w:tblW w:w="102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94"/>
        <w:gridCol w:w="1611"/>
        <w:gridCol w:w="3686"/>
        <w:gridCol w:w="4110"/>
      </w:tblGrid>
      <w:tr w:rsidR="002A41AC" w:rsidRPr="0066750A" w14:paraId="1AB89F1F" w14:textId="77777777" w:rsidTr="00964227">
        <w:trPr>
          <w:tblHeader/>
          <w:tblCellSpacing w:w="15" w:type="dxa"/>
        </w:trPr>
        <w:tc>
          <w:tcPr>
            <w:tcW w:w="10141" w:type="dxa"/>
            <w:gridSpan w:val="4"/>
            <w:vAlign w:val="center"/>
          </w:tcPr>
          <w:p w14:paraId="3684AB9E" w14:textId="77777777" w:rsidR="002A41AC" w:rsidRPr="0066750A" w:rsidRDefault="002A41AC" w:rsidP="00964227">
            <w:pPr>
              <w:jc w:val="center"/>
              <w:rPr>
                <w:rFonts w:cstheme="minorHAnsi"/>
                <w:b/>
              </w:rPr>
            </w:pPr>
            <w:r w:rsidRPr="0066750A">
              <w:rPr>
                <w:rFonts w:cstheme="minorHAnsi"/>
                <w:b/>
              </w:rPr>
              <w:t>DOMAINS</w:t>
            </w:r>
          </w:p>
        </w:tc>
      </w:tr>
      <w:tr w:rsidR="002A41AC" w:rsidRPr="0066750A" w14:paraId="50E8B33C" w14:textId="77777777" w:rsidTr="00964227">
        <w:trPr>
          <w:tblHeader/>
          <w:tblCellSpacing w:w="15" w:type="dxa"/>
        </w:trPr>
        <w:tc>
          <w:tcPr>
            <w:tcW w:w="749" w:type="dxa"/>
            <w:vAlign w:val="center"/>
          </w:tcPr>
          <w:p w14:paraId="37BD301E" w14:textId="77777777" w:rsidR="002A41AC" w:rsidRPr="0066750A" w:rsidRDefault="002A41AC" w:rsidP="00964227">
            <w:pPr>
              <w:jc w:val="center"/>
              <w:rPr>
                <w:rFonts w:cstheme="minorHAnsi"/>
                <w:b/>
              </w:rPr>
            </w:pPr>
            <w:r w:rsidRPr="0066750A">
              <w:rPr>
                <w:rFonts w:cstheme="minorHAnsi"/>
                <w:b/>
              </w:rPr>
              <w:t>TYPE</w:t>
            </w:r>
          </w:p>
        </w:tc>
        <w:tc>
          <w:tcPr>
            <w:tcW w:w="1581" w:type="dxa"/>
            <w:vAlign w:val="center"/>
            <w:hideMark/>
          </w:tcPr>
          <w:p w14:paraId="6FEBD027" w14:textId="77777777" w:rsidR="002A41AC" w:rsidRPr="0066750A" w:rsidRDefault="002A41AC" w:rsidP="00964227">
            <w:pPr>
              <w:ind w:left="109"/>
              <w:jc w:val="center"/>
              <w:rPr>
                <w:rFonts w:cstheme="minorHAnsi"/>
                <w:b/>
              </w:rPr>
            </w:pPr>
            <w:r w:rsidRPr="0066750A">
              <w:rPr>
                <w:rFonts w:cstheme="minorHAnsi"/>
                <w:b/>
              </w:rPr>
              <w:t>DOMAIN NAME</w:t>
            </w:r>
          </w:p>
        </w:tc>
        <w:tc>
          <w:tcPr>
            <w:tcW w:w="3656" w:type="dxa"/>
            <w:vAlign w:val="center"/>
            <w:hideMark/>
          </w:tcPr>
          <w:p w14:paraId="449D5F87" w14:textId="77777777" w:rsidR="002A41AC" w:rsidRPr="0066750A" w:rsidRDefault="002A41AC" w:rsidP="00964227">
            <w:pPr>
              <w:ind w:left="102"/>
              <w:jc w:val="center"/>
              <w:rPr>
                <w:rFonts w:cstheme="minorHAnsi"/>
                <w:b/>
              </w:rPr>
            </w:pPr>
            <w:r w:rsidRPr="0066750A">
              <w:rPr>
                <w:rFonts w:cstheme="minorHAnsi"/>
                <w:b/>
              </w:rPr>
              <w:t>DESCRIPTION</w:t>
            </w:r>
          </w:p>
        </w:tc>
        <w:tc>
          <w:tcPr>
            <w:tcW w:w="4065" w:type="dxa"/>
          </w:tcPr>
          <w:p w14:paraId="6466A584" w14:textId="77777777" w:rsidR="002A41AC" w:rsidRPr="0066750A" w:rsidRDefault="002A41AC" w:rsidP="00964227">
            <w:pPr>
              <w:ind w:left="102"/>
              <w:jc w:val="center"/>
              <w:rPr>
                <w:rFonts w:cstheme="minorHAnsi"/>
                <w:b/>
              </w:rPr>
            </w:pPr>
            <w:r w:rsidRPr="0066750A">
              <w:rPr>
                <w:rFonts w:cstheme="minorHAnsi"/>
                <w:b/>
              </w:rPr>
              <w:t>EBG COMMENTS</w:t>
            </w:r>
          </w:p>
        </w:tc>
      </w:tr>
      <w:tr w:rsidR="002A41AC" w:rsidRPr="0066750A" w14:paraId="079463A7" w14:textId="77777777" w:rsidTr="00964227">
        <w:trPr>
          <w:tblCellSpacing w:w="15" w:type="dxa"/>
        </w:trPr>
        <w:tc>
          <w:tcPr>
            <w:tcW w:w="749" w:type="dxa"/>
            <w:vAlign w:val="center"/>
          </w:tcPr>
          <w:p w14:paraId="0A30EF6C" w14:textId="77777777" w:rsidR="002A41AC" w:rsidRPr="0066750A" w:rsidRDefault="002A41AC" w:rsidP="00964227">
            <w:pPr>
              <w:jc w:val="center"/>
              <w:rPr>
                <w:rFonts w:cstheme="minorHAnsi"/>
              </w:rPr>
            </w:pPr>
            <w:r w:rsidRPr="0066750A">
              <w:rPr>
                <w:rFonts w:cstheme="minorHAnsi"/>
              </w:rPr>
              <w:t>Domain</w:t>
            </w:r>
          </w:p>
        </w:tc>
        <w:tc>
          <w:tcPr>
            <w:tcW w:w="1581" w:type="dxa"/>
            <w:vAlign w:val="center"/>
            <w:hideMark/>
          </w:tcPr>
          <w:p w14:paraId="125DC7EC" w14:textId="77777777" w:rsidR="002A41AC" w:rsidRPr="0066750A" w:rsidRDefault="002A41AC" w:rsidP="00964227">
            <w:pPr>
              <w:ind w:left="109"/>
              <w:rPr>
                <w:rFonts w:cstheme="minorHAnsi"/>
              </w:rPr>
            </w:pPr>
            <w:r w:rsidRPr="0066750A">
              <w:rPr>
                <w:rFonts w:cstheme="minorHAnsi"/>
              </w:rPr>
              <w:t>Accounting Point</w:t>
            </w:r>
          </w:p>
        </w:tc>
        <w:tc>
          <w:tcPr>
            <w:tcW w:w="3656" w:type="dxa"/>
            <w:vAlign w:val="center"/>
            <w:hideMark/>
          </w:tcPr>
          <w:p w14:paraId="32CB595D"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A domain under balance responsibility where Energy Supplier change can take place and for which commercial business processes are defined. </w:t>
            </w:r>
          </w:p>
          <w:p w14:paraId="3E301A34" w14:textId="77777777" w:rsidR="002A41AC" w:rsidRPr="0066750A" w:rsidRDefault="002A41AC" w:rsidP="00964227">
            <w:pPr>
              <w:spacing w:after="0"/>
              <w:ind w:left="102"/>
              <w:rPr>
                <w:rFonts w:cstheme="minorHAnsi"/>
                <w:b/>
              </w:rPr>
            </w:pPr>
            <w:r w:rsidRPr="0066750A">
              <w:rPr>
                <w:rFonts w:cstheme="minorHAnsi"/>
                <w:b/>
              </w:rPr>
              <w:t>Additional information:</w:t>
            </w:r>
          </w:p>
          <w:p w14:paraId="566A196D" w14:textId="77777777" w:rsidR="002A41AC" w:rsidRPr="0066750A" w:rsidRDefault="002A41AC" w:rsidP="00964227">
            <w:pPr>
              <w:ind w:left="108" w:right="142"/>
              <w:rPr>
                <w:rFonts w:cstheme="minorHAnsi"/>
              </w:rPr>
            </w:pPr>
            <w:r w:rsidRPr="0066750A">
              <w:rPr>
                <w:rFonts w:cstheme="minorHAnsi"/>
              </w:rPr>
              <w:t>This is a type of Metering Point.</w:t>
            </w:r>
          </w:p>
        </w:tc>
        <w:tc>
          <w:tcPr>
            <w:tcW w:w="4065" w:type="dxa"/>
          </w:tcPr>
          <w:p w14:paraId="3F5E50F3" w14:textId="77777777" w:rsidR="002A41AC" w:rsidRPr="0066750A" w:rsidRDefault="002A41AC" w:rsidP="00964227">
            <w:pPr>
              <w:rPr>
                <w:rFonts w:cstheme="minorHAnsi"/>
                <w:b/>
                <w:bCs/>
              </w:rPr>
            </w:pPr>
            <w:r w:rsidRPr="0066750A">
              <w:rPr>
                <w:rFonts w:cstheme="minorHAnsi"/>
                <w:b/>
                <w:bCs/>
              </w:rPr>
              <w:t>20230116:</w:t>
            </w:r>
          </w:p>
          <w:p w14:paraId="205458C4" w14:textId="77777777" w:rsidR="002A41AC" w:rsidRPr="0066750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66750A">
              <w:rPr>
                <w:rStyle w:val="cf01"/>
                <w:rFonts w:asciiTheme="minorHAnsi" w:hAnsiTheme="minorHAnsi" w:cstheme="minorHAnsi"/>
                <w:sz w:val="22"/>
                <w:szCs w:val="22"/>
              </w:rPr>
              <w:t>Rephrase to:</w:t>
            </w:r>
          </w:p>
          <w:p w14:paraId="5EDE0C8D" w14:textId="77777777" w:rsidR="002A41AC" w:rsidRPr="0066750A" w:rsidRDefault="002A41AC" w:rsidP="00964227">
            <w:pPr>
              <w:pStyle w:val="ListParagraph"/>
              <w:numPr>
                <w:ilvl w:val="0"/>
                <w:numId w:val="0"/>
              </w:numPr>
              <w:ind w:left="387"/>
              <w:rPr>
                <w:rFonts w:asciiTheme="minorHAnsi" w:hAnsiTheme="minorHAnsi"/>
                <w:i/>
                <w:iCs/>
              </w:rPr>
            </w:pPr>
            <w:r w:rsidRPr="0066750A">
              <w:rPr>
                <w:rFonts w:asciiTheme="minorHAnsi" w:hAnsiTheme="minorHAnsi"/>
                <w:i/>
                <w:iCs/>
              </w:rPr>
              <w:t>A Metering Point under balance responsibility where commercial business processes are defined, such as change of Energy Supplier.</w:t>
            </w:r>
          </w:p>
        </w:tc>
      </w:tr>
      <w:tr w:rsidR="002A41AC" w:rsidRPr="0066750A" w14:paraId="1A42BCCD" w14:textId="77777777" w:rsidTr="00964227">
        <w:trPr>
          <w:tblCellSpacing w:w="15" w:type="dxa"/>
        </w:trPr>
        <w:tc>
          <w:tcPr>
            <w:tcW w:w="749" w:type="dxa"/>
            <w:vAlign w:val="center"/>
          </w:tcPr>
          <w:p w14:paraId="62BFBCC1"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70B93611" w14:textId="77777777" w:rsidR="002A41AC" w:rsidRPr="0066750A" w:rsidRDefault="002A41AC" w:rsidP="00964227">
            <w:pPr>
              <w:ind w:left="109"/>
              <w:rPr>
                <w:rFonts w:cstheme="minorHAnsi"/>
              </w:rPr>
            </w:pPr>
            <w:r w:rsidRPr="0066750A">
              <w:rPr>
                <w:rFonts w:cstheme="minorHAnsi"/>
              </w:rPr>
              <w:t>Bidding Zone</w:t>
            </w:r>
          </w:p>
        </w:tc>
        <w:tc>
          <w:tcPr>
            <w:tcW w:w="3656" w:type="dxa"/>
            <w:vAlign w:val="center"/>
          </w:tcPr>
          <w:p w14:paraId="0C5C10FB"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The largest geographical area within which market participants </w:t>
            </w:r>
            <w:proofErr w:type="gramStart"/>
            <w:r w:rsidRPr="0066750A">
              <w:rPr>
                <w:rFonts w:cstheme="minorHAnsi"/>
                <w:sz w:val="22"/>
                <w:szCs w:val="22"/>
              </w:rPr>
              <w:t>are able to</w:t>
            </w:r>
            <w:proofErr w:type="gramEnd"/>
            <w:r w:rsidRPr="0066750A">
              <w:rPr>
                <w:rFonts w:cstheme="minorHAnsi"/>
                <w:sz w:val="22"/>
                <w:szCs w:val="22"/>
              </w:rPr>
              <w:t xml:space="preserve"> exchange energy without capacity allocation.</w:t>
            </w:r>
          </w:p>
          <w:p w14:paraId="430428C0" w14:textId="77777777" w:rsidR="002A41AC" w:rsidRPr="0066750A" w:rsidRDefault="002A41AC" w:rsidP="00964227">
            <w:pPr>
              <w:ind w:left="108" w:right="142"/>
              <w:rPr>
                <w:rFonts w:cstheme="minorHAnsi"/>
              </w:rPr>
            </w:pPr>
            <w:r w:rsidRPr="0066750A">
              <w:rPr>
                <w:rFonts w:cstheme="minorHAnsi"/>
                <w:b/>
                <w:bCs/>
              </w:rPr>
              <w:t>Source:</w:t>
            </w:r>
            <w:r w:rsidRPr="0066750A">
              <w:rPr>
                <w:rFonts w:cstheme="minorHAnsi"/>
              </w:rPr>
              <w:t xml:space="preserve"> </w:t>
            </w:r>
            <w:bookmarkStart w:id="5" w:name="_Hlk89940226"/>
            <w:r w:rsidRPr="0066750A">
              <w:rPr>
                <w:sz w:val="18"/>
                <w:szCs w:val="24"/>
              </w:rPr>
            </w:r>
            <w:r w:rsidRPr="0066750A">
              <w:rPr>
                <w:rFonts w:cstheme="minorHAnsi"/>
              </w:rPr>
              <w:instrText xml:space="preserve"/>
            </w:r>
            <w:r w:rsidRPr="0066750A">
              <w:rPr>
                <w:sz w:val="18"/>
                <w:szCs w:val="24"/>
              </w:rPr>
            </w:r>
            <w:r w:rsidRPr="0066750A">
              <w:rPr>
                <w:sz w:val="18"/>
                <w:szCs w:val="24"/>
              </w:rPr>
            </w:r>
            <w:bookmarkStart w:id="6" w:name="_Hlk89940207"/>
            <w:r w:rsidRPr="0066750A">
              <w:rPr>
                <w:rStyle w:val="Hyperlink"/>
                <w:rFonts w:cstheme="minorHAnsi"/>
              </w:rPr>
              <w:t>Commission Regulation (EU) 543/2013</w:t>
            </w:r>
            <w:bookmarkEnd w:id="6"/>
            <w:r w:rsidRPr="0066750A">
              <w:rPr>
                <w:rStyle w:val="Hyperlink"/>
                <w:rFonts w:cstheme="minorHAnsi"/>
              </w:rPr>
              <w:t>.</w:t>
            </w:r>
            <w:r w:rsidRPr="0066750A">
              <w:rPr>
                <w:rStyle w:val="Hyperlink"/>
                <w:rFonts w:cstheme="minorHAnsi"/>
              </w:rPr>
            </w:r>
            <w:bookmarkEnd w:id="5"/>
          </w:p>
        </w:tc>
        <w:tc>
          <w:tcPr>
            <w:tcW w:w="4065" w:type="dxa"/>
          </w:tcPr>
          <w:p w14:paraId="119C371A" w14:textId="77777777" w:rsidR="002A41AC" w:rsidRPr="0066750A" w:rsidRDefault="002A41AC" w:rsidP="00964227">
            <w:pPr>
              <w:rPr>
                <w:rFonts w:cstheme="minorHAnsi"/>
                <w:b/>
                <w:bCs/>
              </w:rPr>
            </w:pPr>
            <w:r w:rsidRPr="0066750A">
              <w:rPr>
                <w:rFonts w:cstheme="minorHAnsi"/>
                <w:b/>
                <w:bCs/>
              </w:rPr>
              <w:t>20230116:</w:t>
            </w:r>
          </w:p>
          <w:p w14:paraId="2097296F" w14:textId="77777777" w:rsidR="00CB1067" w:rsidRPr="0066750A" w:rsidRDefault="00CB1067" w:rsidP="00CB1067">
            <w:pPr>
              <w:pStyle w:val="ListParagraph"/>
              <w:numPr>
                <w:ilvl w:val="0"/>
                <w:numId w:val="27"/>
              </w:numPr>
              <w:autoSpaceDE/>
              <w:autoSpaceDN/>
              <w:ind w:left="387" w:hanging="218"/>
              <w:rPr>
                <w:rStyle w:val="cf01"/>
                <w:rFonts w:asciiTheme="minorHAnsi" w:hAnsiTheme="minorHAnsi" w:cstheme="minorHAnsi"/>
                <w:sz w:val="22"/>
                <w:szCs w:val="22"/>
              </w:rPr>
            </w:pPr>
            <w:r w:rsidRPr="0066750A">
              <w:rPr>
                <w:rStyle w:val="cf01"/>
                <w:rFonts w:asciiTheme="minorHAnsi" w:hAnsiTheme="minorHAnsi" w:cstheme="minorHAnsi"/>
                <w:sz w:val="22"/>
                <w:szCs w:val="22"/>
              </w:rPr>
              <w:t>Rephrase to:</w:t>
            </w:r>
          </w:p>
          <w:p w14:paraId="509B7900" w14:textId="7F347E58" w:rsidR="002A41AC" w:rsidRDefault="002A41AC" w:rsidP="009B73C2">
            <w:pPr>
              <w:pStyle w:val="ListParagraph"/>
              <w:numPr>
                <w:ilvl w:val="0"/>
                <w:numId w:val="0"/>
              </w:numPr>
              <w:autoSpaceDE/>
              <w:autoSpaceDN/>
              <w:ind w:left="387"/>
              <w:rPr>
                <w:rFonts w:asciiTheme="minorHAnsi" w:hAnsiTheme="minorHAnsi"/>
                <w:i/>
                <w:iCs/>
              </w:rPr>
            </w:pPr>
            <w:r w:rsidRPr="0066750A">
              <w:rPr>
                <w:rFonts w:asciiTheme="minorHAnsi" w:hAnsiTheme="minorHAnsi"/>
                <w:i/>
                <w:iCs/>
              </w:rPr>
              <w:t>A set</w:t>
            </w:r>
            <w:r w:rsidRPr="0066750A">
              <w:rPr>
                <w:rFonts w:asciiTheme="minorHAnsi" w:hAnsiTheme="minorHAnsi"/>
              </w:rPr>
              <w:t xml:space="preserve"> </w:t>
            </w:r>
            <w:r w:rsidRPr="0066750A">
              <w:rPr>
                <w:rFonts w:asciiTheme="minorHAnsi" w:hAnsiTheme="minorHAnsi"/>
                <w:i/>
                <w:iCs/>
              </w:rPr>
              <w:t xml:space="preserve">of Metering Grid Areas within which market participants are allowed to exchange energy without </w:t>
            </w:r>
            <w:r w:rsidR="009B73C2">
              <w:rPr>
                <w:rFonts w:asciiTheme="minorHAnsi" w:hAnsiTheme="minorHAnsi"/>
                <w:i/>
                <w:iCs/>
              </w:rPr>
              <w:t>the need for capacity allocation</w:t>
            </w:r>
            <w:r w:rsidRPr="0066750A">
              <w:rPr>
                <w:rFonts w:asciiTheme="minorHAnsi" w:hAnsiTheme="minorHAnsi"/>
                <w:i/>
                <w:iCs/>
              </w:rPr>
              <w:t>.</w:t>
            </w:r>
          </w:p>
          <w:p w14:paraId="30FAA2C2" w14:textId="777DE3E4" w:rsidR="00CB1067" w:rsidRPr="0066750A" w:rsidRDefault="00CB1067" w:rsidP="00CB1067">
            <w:pPr>
              <w:pStyle w:val="ListParagraph"/>
              <w:numPr>
                <w:ilvl w:val="0"/>
                <w:numId w:val="0"/>
              </w:numPr>
              <w:autoSpaceDE/>
              <w:autoSpaceDN/>
              <w:ind w:left="387"/>
              <w:rPr>
                <w:rFonts w:asciiTheme="minorHAnsi" w:hAnsiTheme="minorHAnsi"/>
                <w:i/>
                <w:iCs/>
              </w:rPr>
            </w:pPr>
            <w:r w:rsidRPr="0066750A">
              <w:rPr>
                <w:b/>
              </w:rPr>
              <w:t>Source:</w:t>
            </w:r>
            <w:r w:rsidRPr="0066750A">
              <w:t xml:space="preserve"> </w:t>
            </w:r>
            <w:hyperlink r:id="rId23" w:history="1">
              <w:r w:rsidRPr="0066750A">
                <w:rPr>
                  <w:rStyle w:val="Hyperlink"/>
                </w:rPr>
                <w:t>Commission Regulation (EU) 543/2013.</w:t>
              </w:r>
            </w:hyperlink>
          </w:p>
        </w:tc>
      </w:tr>
      <w:tr w:rsidR="002A41AC" w:rsidRPr="0066750A" w14:paraId="7470D50A" w14:textId="77777777" w:rsidTr="00964227">
        <w:trPr>
          <w:tblCellSpacing w:w="15" w:type="dxa"/>
        </w:trPr>
        <w:tc>
          <w:tcPr>
            <w:tcW w:w="749" w:type="dxa"/>
            <w:vAlign w:val="center"/>
          </w:tcPr>
          <w:p w14:paraId="0D51D387"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172C875C" w14:textId="77777777" w:rsidR="002A41AC" w:rsidRPr="0066750A" w:rsidRDefault="002A41AC" w:rsidP="00964227">
            <w:pPr>
              <w:ind w:left="109"/>
              <w:rPr>
                <w:rFonts w:cstheme="minorHAnsi"/>
              </w:rPr>
            </w:pPr>
            <w:r w:rsidRPr="0066750A">
              <w:rPr>
                <w:rFonts w:cstheme="minorHAnsi"/>
              </w:rPr>
              <w:t>Bidding Zone Border</w:t>
            </w:r>
          </w:p>
        </w:tc>
        <w:tc>
          <w:tcPr>
            <w:tcW w:w="3656" w:type="dxa"/>
            <w:vAlign w:val="center"/>
          </w:tcPr>
          <w:p w14:paraId="2251996F" w14:textId="77777777" w:rsidR="002A41AC" w:rsidRPr="0066750A" w:rsidRDefault="002A41AC" w:rsidP="00964227">
            <w:pPr>
              <w:ind w:left="102"/>
              <w:rPr>
                <w:rFonts w:cstheme="minorHAnsi"/>
              </w:rPr>
            </w:pPr>
            <w:r w:rsidRPr="0066750A">
              <w:rPr>
                <w:rFonts w:cstheme="minorHAnsi"/>
              </w:rPr>
              <w:t>Defines the aggregated connection capacity between two Bidding Zones.</w:t>
            </w:r>
          </w:p>
          <w:p w14:paraId="2F77F5F7" w14:textId="77777777" w:rsidR="002A41AC" w:rsidRPr="0066750A" w:rsidRDefault="002A41AC" w:rsidP="00964227">
            <w:pPr>
              <w:ind w:left="108" w:right="142"/>
              <w:rPr>
                <w:rFonts w:cstheme="minorHAnsi"/>
              </w:rPr>
            </w:pPr>
            <w:r w:rsidRPr="0066750A">
              <w:rPr>
                <w:rFonts w:cstheme="minorHAnsi"/>
              </w:rPr>
              <w:t>A market area (Which defines the aggregated connection capacity between two Bidding Zones) where the transmission capacity between the Bidding Zones is given to the Balance Responsible Parties according to rules carried out by a Transmission Capacity Allocator. Trade between Bidding Zones is carried out on a bilateral or unilateral basis.</w:t>
            </w:r>
          </w:p>
        </w:tc>
        <w:tc>
          <w:tcPr>
            <w:tcW w:w="4065" w:type="dxa"/>
          </w:tcPr>
          <w:p w14:paraId="2823D8E0" w14:textId="77777777" w:rsidR="002A41AC" w:rsidRPr="0066750A" w:rsidRDefault="002A41AC" w:rsidP="00964227">
            <w:pPr>
              <w:rPr>
                <w:rFonts w:cstheme="minorHAnsi"/>
                <w:b/>
                <w:bCs/>
              </w:rPr>
            </w:pPr>
            <w:r w:rsidRPr="0066750A">
              <w:rPr>
                <w:rFonts w:cstheme="minorHAnsi"/>
                <w:b/>
                <w:bCs/>
              </w:rPr>
              <w:t>20230123:</w:t>
            </w:r>
          </w:p>
          <w:p w14:paraId="0243E28B" w14:textId="77777777" w:rsidR="002A41AC" w:rsidRPr="0066750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66750A">
              <w:rPr>
                <w:rStyle w:val="cf01"/>
                <w:rFonts w:asciiTheme="minorHAnsi" w:hAnsiTheme="minorHAnsi" w:cstheme="minorHAnsi"/>
                <w:sz w:val="22"/>
                <w:szCs w:val="22"/>
              </w:rPr>
              <w:t>Rephrase to:</w:t>
            </w:r>
          </w:p>
          <w:p w14:paraId="0156A7D2" w14:textId="77777777" w:rsidR="002A41AC" w:rsidRPr="0066750A" w:rsidRDefault="002A41AC" w:rsidP="00964227">
            <w:pPr>
              <w:ind w:left="387"/>
              <w:rPr>
                <w:rFonts w:cstheme="minorHAnsi"/>
                <w:i/>
                <w:iCs/>
                <w:strike/>
              </w:rPr>
            </w:pPr>
            <w:r w:rsidRPr="0066750A">
              <w:rPr>
                <w:rFonts w:cstheme="minorHAnsi"/>
                <w:i/>
                <w:iCs/>
              </w:rPr>
              <w:t>The collection of Exchange Points between two Bidding Zones, where the transmission capacity between the Bidding Zones is given to the Balance Responsible Parties according to rules carried out by a Transmission Capacity Allocator.</w:t>
            </w:r>
          </w:p>
        </w:tc>
      </w:tr>
      <w:tr w:rsidR="002A41AC" w:rsidRPr="0066750A" w14:paraId="6F2DFBAE" w14:textId="77777777" w:rsidTr="00964227">
        <w:trPr>
          <w:tblCellSpacing w:w="15" w:type="dxa"/>
        </w:trPr>
        <w:tc>
          <w:tcPr>
            <w:tcW w:w="749" w:type="dxa"/>
            <w:vAlign w:val="center"/>
          </w:tcPr>
          <w:p w14:paraId="27A9E8D9"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3C569C2F" w14:textId="77777777" w:rsidR="002A41AC" w:rsidRPr="0066750A" w:rsidRDefault="002A41AC" w:rsidP="00964227">
            <w:pPr>
              <w:ind w:left="109"/>
              <w:rPr>
                <w:rFonts w:cstheme="minorHAnsi"/>
              </w:rPr>
            </w:pPr>
            <w:r w:rsidRPr="0066750A">
              <w:rPr>
                <w:rFonts w:cstheme="minorHAnsi"/>
              </w:rPr>
              <w:t>Capacity Calculation Region</w:t>
            </w:r>
          </w:p>
        </w:tc>
        <w:tc>
          <w:tcPr>
            <w:tcW w:w="3656" w:type="dxa"/>
            <w:vAlign w:val="center"/>
          </w:tcPr>
          <w:p w14:paraId="61B27843"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The Capacity Calculation Region is the geographic area in which coordinated capacity calculation is applied.</w:t>
            </w:r>
          </w:p>
          <w:p w14:paraId="16BC7D3B"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b/>
                <w:bCs/>
                <w:sz w:val="22"/>
                <w:szCs w:val="22"/>
              </w:rPr>
              <w:t>Source:</w:t>
            </w:r>
            <w:r w:rsidRPr="0066750A">
              <w:rPr>
                <w:rFonts w:cstheme="minorHAnsi"/>
                <w:sz w:val="22"/>
                <w:szCs w:val="22"/>
              </w:rPr>
              <w:t xml:space="preserve"> </w:t>
            </w:r>
            <w:hyperlink r:id="rId24" w:anchor="d1e321-24-1" w:history="1">
              <w:r w:rsidRPr="0066750A">
                <w:rPr>
                  <w:rStyle w:val="Hyperlink"/>
                  <w:rFonts w:cstheme="minorHAnsi"/>
                  <w:sz w:val="22"/>
                  <w:szCs w:val="22"/>
                </w:rPr>
                <w:t>Commission Regulation (EU) 2015/1222 (CACM).</w:t>
              </w:r>
            </w:hyperlink>
          </w:p>
          <w:p w14:paraId="581D0092" w14:textId="77777777" w:rsidR="002A41AC" w:rsidRPr="0066750A" w:rsidRDefault="002A41AC" w:rsidP="00964227">
            <w:pPr>
              <w:ind w:left="102"/>
              <w:rPr>
                <w:rFonts w:cstheme="minorHAnsi"/>
                <w:b/>
              </w:rPr>
            </w:pPr>
            <w:r w:rsidRPr="0066750A">
              <w:rPr>
                <w:rFonts w:cstheme="minorHAnsi"/>
                <w:b/>
              </w:rPr>
              <w:t>Additional information:</w:t>
            </w:r>
          </w:p>
          <w:p w14:paraId="6BABCD75" w14:textId="77777777" w:rsidR="002A41AC" w:rsidRPr="0066750A" w:rsidRDefault="002A41AC" w:rsidP="00964227">
            <w:pPr>
              <w:ind w:left="108" w:right="142"/>
              <w:rPr>
                <w:rFonts w:cstheme="minorHAnsi"/>
              </w:rPr>
            </w:pPr>
            <w:r w:rsidRPr="0066750A">
              <w:rPr>
                <w:rFonts w:cstheme="minorHAnsi"/>
              </w:rPr>
              <w:lastRenderedPageBreak/>
              <w:t>The transmission capacity between Bidding Zones, included in the Capacity Calculation Region, is given to the Balance Responsible Parties through an implicit capacity allocation process or through an explicit allocation auction.</w:t>
            </w:r>
          </w:p>
        </w:tc>
        <w:tc>
          <w:tcPr>
            <w:tcW w:w="4065" w:type="dxa"/>
          </w:tcPr>
          <w:p w14:paraId="38F5FB57" w14:textId="77777777" w:rsidR="002A41AC" w:rsidRPr="0066750A" w:rsidRDefault="002A41AC" w:rsidP="00964227">
            <w:pPr>
              <w:rPr>
                <w:rFonts w:cstheme="minorHAnsi"/>
                <w:b/>
                <w:bCs/>
              </w:rPr>
            </w:pPr>
            <w:r w:rsidRPr="0066750A">
              <w:rPr>
                <w:rFonts w:cstheme="minorHAnsi"/>
                <w:b/>
                <w:bCs/>
              </w:rPr>
              <w:lastRenderedPageBreak/>
              <w:t>20230123:</w:t>
            </w:r>
          </w:p>
          <w:p w14:paraId="4FB7F991" w14:textId="77777777" w:rsidR="002A41AC" w:rsidRPr="0066750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66750A">
              <w:rPr>
                <w:rStyle w:val="cf01"/>
                <w:rFonts w:asciiTheme="minorHAnsi" w:hAnsiTheme="minorHAnsi" w:cstheme="minorHAnsi"/>
                <w:sz w:val="22"/>
                <w:szCs w:val="22"/>
              </w:rPr>
              <w:t>Rephrase to:</w:t>
            </w:r>
          </w:p>
          <w:p w14:paraId="5FEE1C05" w14:textId="43EE62A0" w:rsidR="002A41AC" w:rsidRPr="0066750A" w:rsidRDefault="002A41AC" w:rsidP="00964227">
            <w:pPr>
              <w:pStyle w:val="NormalWeb"/>
              <w:spacing w:before="60" w:beforeAutospacing="0" w:after="240" w:afterAutospacing="0"/>
              <w:ind w:left="387"/>
              <w:rPr>
                <w:rFonts w:cstheme="minorHAnsi"/>
                <w:i/>
                <w:iCs/>
                <w:sz w:val="22"/>
                <w:szCs w:val="22"/>
              </w:rPr>
            </w:pPr>
            <w:r w:rsidRPr="0066750A">
              <w:rPr>
                <w:rFonts w:cstheme="minorHAnsi"/>
                <w:i/>
                <w:iCs/>
                <w:sz w:val="22"/>
                <w:szCs w:val="22"/>
              </w:rPr>
              <w:t>A geographical area in which the capacity calculation is coordinated between the S</w:t>
            </w:r>
            <w:r w:rsidR="004B5672">
              <w:rPr>
                <w:rFonts w:cstheme="minorHAnsi"/>
                <w:i/>
                <w:iCs/>
                <w:sz w:val="22"/>
                <w:szCs w:val="22"/>
              </w:rPr>
              <w:t xml:space="preserve">ystem </w:t>
            </w:r>
            <w:r w:rsidRPr="0066750A">
              <w:rPr>
                <w:rFonts w:cstheme="minorHAnsi"/>
                <w:i/>
                <w:iCs/>
                <w:sz w:val="22"/>
                <w:szCs w:val="22"/>
              </w:rPr>
              <w:t>O</w:t>
            </w:r>
            <w:r w:rsidR="004B5672">
              <w:rPr>
                <w:rFonts w:cstheme="minorHAnsi"/>
                <w:i/>
                <w:iCs/>
                <w:sz w:val="22"/>
                <w:szCs w:val="22"/>
              </w:rPr>
              <w:t>perator</w:t>
            </w:r>
            <w:r w:rsidRPr="0066750A">
              <w:rPr>
                <w:rFonts w:cstheme="minorHAnsi"/>
                <w:i/>
                <w:iCs/>
                <w:sz w:val="22"/>
                <w:szCs w:val="22"/>
              </w:rPr>
              <w:t>s</w:t>
            </w:r>
            <w:r w:rsidR="004B5672">
              <w:rPr>
                <w:rFonts w:cstheme="minorHAnsi"/>
                <w:i/>
                <w:iCs/>
                <w:sz w:val="22"/>
                <w:szCs w:val="22"/>
              </w:rPr>
              <w:t xml:space="preserve"> for transmission grids involved</w:t>
            </w:r>
            <w:r w:rsidRPr="0066750A">
              <w:rPr>
                <w:rFonts w:cstheme="minorHAnsi"/>
                <w:i/>
                <w:iCs/>
                <w:sz w:val="22"/>
                <w:szCs w:val="22"/>
              </w:rPr>
              <w:t>.</w:t>
            </w:r>
          </w:p>
          <w:p w14:paraId="4CB5DEAE" w14:textId="3BF94F89" w:rsidR="002A41AC" w:rsidRPr="0066750A" w:rsidRDefault="0098488F" w:rsidP="00964227">
            <w:pPr>
              <w:pStyle w:val="NormalWeb"/>
              <w:spacing w:before="60" w:beforeAutospacing="0" w:after="240" w:afterAutospacing="0"/>
              <w:ind w:left="387"/>
              <w:rPr>
                <w:rFonts w:cstheme="minorHAnsi"/>
                <w:i/>
                <w:iCs/>
                <w:sz w:val="22"/>
                <w:szCs w:val="22"/>
              </w:rPr>
            </w:pPr>
            <w:r>
              <w:rPr>
                <w:rFonts w:cstheme="minorHAnsi"/>
                <w:b/>
                <w:bCs/>
                <w:i/>
                <w:iCs/>
                <w:sz w:val="22"/>
                <w:szCs w:val="22"/>
              </w:rPr>
              <w:lastRenderedPageBreak/>
              <w:t>Source</w:t>
            </w:r>
            <w:r w:rsidR="002A41AC" w:rsidRPr="0066750A">
              <w:rPr>
                <w:rFonts w:cstheme="minorHAnsi"/>
                <w:b/>
                <w:bCs/>
                <w:i/>
                <w:iCs/>
                <w:sz w:val="22"/>
                <w:szCs w:val="22"/>
              </w:rPr>
              <w:t>:</w:t>
            </w:r>
            <w:r w:rsidR="002A41AC" w:rsidRPr="0066750A">
              <w:rPr>
                <w:rFonts w:cstheme="minorHAnsi"/>
                <w:i/>
                <w:iCs/>
                <w:sz w:val="22"/>
                <w:szCs w:val="22"/>
              </w:rPr>
              <w:t xml:space="preserve"> </w:t>
            </w:r>
            <w:hyperlink r:id="rId25" w:anchor="d1e321-24-1" w:history="1">
              <w:r w:rsidR="002A41AC" w:rsidRPr="0066750A">
                <w:rPr>
                  <w:rStyle w:val="Hyperlink"/>
                  <w:rFonts w:cstheme="minorHAnsi"/>
                  <w:i/>
                  <w:iCs/>
                  <w:sz w:val="22"/>
                  <w:szCs w:val="22"/>
                </w:rPr>
                <w:t>Commission Regulation (EU) 2015/1222 (CACM).</w:t>
              </w:r>
            </w:hyperlink>
          </w:p>
          <w:p w14:paraId="782CA481" w14:textId="77777777" w:rsidR="002A41AC" w:rsidRPr="0066750A" w:rsidRDefault="002A41AC" w:rsidP="00964227">
            <w:pPr>
              <w:spacing w:after="0"/>
              <w:ind w:left="380"/>
              <w:rPr>
                <w:rFonts w:cstheme="minorHAnsi"/>
                <w:b/>
                <w:i/>
                <w:iCs/>
              </w:rPr>
            </w:pPr>
            <w:r w:rsidRPr="0066750A">
              <w:rPr>
                <w:rFonts w:cstheme="minorHAnsi"/>
                <w:b/>
                <w:i/>
                <w:iCs/>
              </w:rPr>
              <w:t>Additional information:</w:t>
            </w:r>
          </w:p>
          <w:p w14:paraId="63AFED42" w14:textId="77777777" w:rsidR="002A41AC" w:rsidRPr="0066750A" w:rsidRDefault="002A41AC" w:rsidP="00964227">
            <w:pPr>
              <w:pStyle w:val="NormalWeb"/>
              <w:spacing w:before="60" w:beforeAutospacing="0" w:after="240" w:afterAutospacing="0"/>
              <w:ind w:left="387"/>
              <w:rPr>
                <w:rFonts w:cstheme="minorHAnsi"/>
                <w:sz w:val="22"/>
                <w:szCs w:val="22"/>
              </w:rPr>
            </w:pPr>
            <w:r w:rsidRPr="0066750A">
              <w:rPr>
                <w:rFonts w:cstheme="minorHAnsi"/>
                <w:i/>
                <w:iCs/>
                <w:sz w:val="22"/>
                <w:szCs w:val="22"/>
              </w:rPr>
              <w:t>The transmission capacity between Bidding Zones, included in the Capacity Calculation Region, is given to the Balance Responsible Parties through an implicit capacity allocation process or through an explicit allocation auction.</w:t>
            </w:r>
          </w:p>
        </w:tc>
      </w:tr>
      <w:tr w:rsidR="002A41AC" w:rsidRPr="0066750A" w14:paraId="0BEC5725" w14:textId="77777777" w:rsidTr="00964227">
        <w:trPr>
          <w:tblCellSpacing w:w="15" w:type="dxa"/>
        </w:trPr>
        <w:tc>
          <w:tcPr>
            <w:tcW w:w="749" w:type="dxa"/>
            <w:vAlign w:val="center"/>
          </w:tcPr>
          <w:p w14:paraId="521D21F8" w14:textId="77777777" w:rsidR="002A41AC" w:rsidRPr="0066750A" w:rsidRDefault="002A41AC" w:rsidP="00964227">
            <w:pPr>
              <w:rPr>
                <w:rFonts w:cstheme="minorHAnsi"/>
              </w:rPr>
            </w:pPr>
            <w:r w:rsidRPr="0066750A">
              <w:rPr>
                <w:rFonts w:cstheme="minorHAnsi"/>
              </w:rPr>
              <w:lastRenderedPageBreak/>
              <w:t>Domain</w:t>
            </w:r>
          </w:p>
        </w:tc>
        <w:tc>
          <w:tcPr>
            <w:tcW w:w="1581" w:type="dxa"/>
            <w:vAlign w:val="center"/>
          </w:tcPr>
          <w:p w14:paraId="42AD0654" w14:textId="77777777" w:rsidR="002A41AC" w:rsidRPr="0066750A" w:rsidRDefault="002A41AC" w:rsidP="00964227">
            <w:pPr>
              <w:ind w:left="109"/>
              <w:rPr>
                <w:rFonts w:cstheme="minorHAnsi"/>
              </w:rPr>
            </w:pPr>
            <w:bookmarkStart w:id="7" w:name="_Hlk89939028"/>
            <w:r w:rsidRPr="0066750A">
              <w:rPr>
                <w:rFonts w:cstheme="minorHAnsi"/>
              </w:rPr>
              <w:t>Control Area</w:t>
            </w:r>
            <w:bookmarkEnd w:id="7"/>
          </w:p>
        </w:tc>
        <w:tc>
          <w:tcPr>
            <w:tcW w:w="3656" w:type="dxa"/>
            <w:vAlign w:val="center"/>
          </w:tcPr>
          <w:p w14:paraId="02D89930" w14:textId="77777777" w:rsidR="002A41AC" w:rsidRPr="0066750A" w:rsidRDefault="002A41AC" w:rsidP="00964227">
            <w:pPr>
              <w:pStyle w:val="NormalWeb"/>
              <w:spacing w:before="60" w:beforeAutospacing="0" w:after="240" w:afterAutospacing="0"/>
              <w:ind w:left="108"/>
              <w:rPr>
                <w:rFonts w:cstheme="minorHAnsi"/>
                <w:sz w:val="22"/>
                <w:szCs w:val="22"/>
              </w:rPr>
            </w:pPr>
            <w:bookmarkStart w:id="8" w:name="_Hlk89939044"/>
            <w:r w:rsidRPr="0066750A">
              <w:rPr>
                <w:rFonts w:cstheme="minorHAnsi"/>
                <w:sz w:val="22"/>
                <w:szCs w:val="22"/>
                <w:lang w:eastAsia="sv-SE"/>
              </w:rPr>
              <w:t>A coherent part of the interconnected system, operated by a single System Operator and shall include connected physical loads and/or generation units if any.</w:t>
            </w:r>
          </w:p>
          <w:p w14:paraId="4A7983A7" w14:textId="77777777" w:rsidR="002A41AC" w:rsidRPr="0066750A" w:rsidRDefault="002A41AC" w:rsidP="00964227">
            <w:pPr>
              <w:ind w:left="109"/>
              <w:rPr>
                <w:rFonts w:cstheme="minorHAnsi"/>
                <w:b/>
                <w:bCs/>
              </w:rPr>
            </w:pPr>
            <w:r w:rsidRPr="0066750A">
              <w:rPr>
                <w:rFonts w:cstheme="minorHAnsi"/>
                <w:b/>
                <w:bCs/>
              </w:rPr>
              <w:t>Additional information:</w:t>
            </w:r>
          </w:p>
          <w:p w14:paraId="32BC86DF" w14:textId="77777777" w:rsidR="002A41AC" w:rsidRPr="0066750A" w:rsidRDefault="002A41AC" w:rsidP="00964227">
            <w:pPr>
              <w:ind w:left="108" w:right="142"/>
              <w:rPr>
                <w:rFonts w:cstheme="minorHAnsi"/>
              </w:rPr>
            </w:pPr>
            <w:r w:rsidRPr="0066750A">
              <w:rPr>
                <w:rFonts w:cstheme="minorHAnsi"/>
              </w:rPr>
              <w:t xml:space="preserve">Source: </w:t>
            </w:r>
            <w:hyperlink r:id="rId26" w:history="1">
              <w:bookmarkStart w:id="9" w:name="_Hlk89940162"/>
              <w:r w:rsidRPr="0066750A">
                <w:rPr>
                  <w:rStyle w:val="Hyperlink"/>
                  <w:rFonts w:cstheme="minorHAnsi"/>
                </w:rPr>
                <w:t>Commission Regulation (EU) 543/2013</w:t>
              </w:r>
              <w:bookmarkEnd w:id="9"/>
              <w:r w:rsidRPr="0066750A">
                <w:rPr>
                  <w:rFonts w:cstheme="minorHAnsi"/>
                </w:rPr>
                <w:t>.</w:t>
              </w:r>
            </w:hyperlink>
            <w:bookmarkEnd w:id="8"/>
          </w:p>
        </w:tc>
        <w:tc>
          <w:tcPr>
            <w:tcW w:w="4065" w:type="dxa"/>
          </w:tcPr>
          <w:p w14:paraId="058EE465" w14:textId="77777777" w:rsidR="002A41AC" w:rsidRPr="0066750A" w:rsidRDefault="002A41AC" w:rsidP="00964227">
            <w:pPr>
              <w:rPr>
                <w:rFonts w:cstheme="minorHAnsi"/>
                <w:b/>
                <w:bCs/>
              </w:rPr>
            </w:pPr>
            <w:r w:rsidRPr="0066750A">
              <w:rPr>
                <w:rFonts w:cstheme="minorHAnsi"/>
                <w:b/>
                <w:bCs/>
              </w:rPr>
              <w:t>20230123:</w:t>
            </w:r>
          </w:p>
          <w:p w14:paraId="55DC9FD3" w14:textId="77777777" w:rsidR="002A41AC" w:rsidRPr="0066750A" w:rsidRDefault="002A41AC" w:rsidP="002A41AC">
            <w:pPr>
              <w:pStyle w:val="ListParagraph"/>
              <w:numPr>
                <w:ilvl w:val="0"/>
                <w:numId w:val="27"/>
              </w:numPr>
              <w:autoSpaceDE/>
              <w:autoSpaceDN/>
              <w:ind w:left="387" w:hanging="218"/>
              <w:rPr>
                <w:rFonts w:asciiTheme="minorHAnsi" w:hAnsiTheme="minorHAnsi"/>
                <w:lang w:eastAsia="sv-SE"/>
              </w:rPr>
            </w:pPr>
            <w:r w:rsidRPr="00E43C8A">
              <w:rPr>
                <w:rStyle w:val="cf01"/>
                <w:rFonts w:asciiTheme="minorHAnsi" w:hAnsiTheme="minorHAnsi" w:cstheme="minorHAnsi"/>
                <w:sz w:val="22"/>
                <w:szCs w:val="22"/>
              </w:rPr>
              <w:t>We have difficulties understanding this definition. Can it be made clear?</w:t>
            </w:r>
          </w:p>
        </w:tc>
      </w:tr>
      <w:tr w:rsidR="002A41AC" w:rsidRPr="0066750A" w14:paraId="5948113D" w14:textId="77777777" w:rsidTr="00964227">
        <w:trPr>
          <w:tblCellSpacing w:w="15" w:type="dxa"/>
        </w:trPr>
        <w:tc>
          <w:tcPr>
            <w:tcW w:w="749" w:type="dxa"/>
            <w:vAlign w:val="center"/>
          </w:tcPr>
          <w:p w14:paraId="04D7D2BA" w14:textId="77777777" w:rsidR="002A41AC" w:rsidRPr="0066750A" w:rsidRDefault="002A41AC" w:rsidP="00964227">
            <w:pPr>
              <w:rPr>
                <w:rFonts w:cstheme="minorHAnsi"/>
              </w:rPr>
            </w:pPr>
            <w:r w:rsidRPr="0066750A">
              <w:rPr>
                <w:rFonts w:cstheme="minorHAnsi"/>
              </w:rPr>
              <w:t>Domain</w:t>
            </w:r>
          </w:p>
        </w:tc>
        <w:tc>
          <w:tcPr>
            <w:tcW w:w="1581" w:type="dxa"/>
            <w:vAlign w:val="center"/>
            <w:hideMark/>
          </w:tcPr>
          <w:p w14:paraId="66BBEA75" w14:textId="77777777" w:rsidR="002A41AC" w:rsidRPr="0066750A" w:rsidRDefault="002A41AC" w:rsidP="00964227">
            <w:pPr>
              <w:ind w:left="109"/>
              <w:rPr>
                <w:rFonts w:cstheme="minorHAnsi"/>
              </w:rPr>
            </w:pPr>
            <w:r w:rsidRPr="0066750A">
              <w:rPr>
                <w:rFonts w:cstheme="minorHAnsi"/>
              </w:rPr>
              <w:t>Coordination Centre Zone</w:t>
            </w:r>
          </w:p>
        </w:tc>
        <w:tc>
          <w:tcPr>
            <w:tcW w:w="3656" w:type="dxa"/>
            <w:vAlign w:val="center"/>
            <w:hideMark/>
          </w:tcPr>
          <w:p w14:paraId="521E6FE2" w14:textId="77777777" w:rsidR="002A41AC" w:rsidRPr="0066750A" w:rsidRDefault="002A41AC" w:rsidP="00964227">
            <w:pPr>
              <w:ind w:left="108" w:right="142"/>
              <w:rPr>
                <w:rFonts w:cstheme="minorHAnsi"/>
              </w:rPr>
            </w:pPr>
            <w:r w:rsidRPr="0066750A">
              <w:rPr>
                <w:rFonts w:cstheme="minorHAnsi"/>
              </w:rPr>
              <w:t xml:space="preserve">The composition of </w:t>
            </w:r>
            <w:proofErr w:type="gramStart"/>
            <w:r w:rsidRPr="0066750A">
              <w:rPr>
                <w:rFonts w:cstheme="minorHAnsi"/>
              </w:rPr>
              <w:t>a number of</w:t>
            </w:r>
            <w:proofErr w:type="gramEnd"/>
            <w:r w:rsidRPr="0066750A">
              <w:rPr>
                <w:rFonts w:cstheme="minorHAnsi"/>
              </w:rPr>
              <w:t xml:space="preserve"> LFC Blocks under the responsibility of the same Coordination Centre Operator.</w:t>
            </w:r>
          </w:p>
        </w:tc>
        <w:tc>
          <w:tcPr>
            <w:tcW w:w="4065" w:type="dxa"/>
          </w:tcPr>
          <w:p w14:paraId="74B701B9" w14:textId="77777777" w:rsidR="002A41AC" w:rsidRPr="0066750A" w:rsidRDefault="002A41AC" w:rsidP="00964227">
            <w:pPr>
              <w:rPr>
                <w:rFonts w:cstheme="minorHAnsi"/>
                <w:b/>
                <w:bCs/>
              </w:rPr>
            </w:pPr>
            <w:r w:rsidRPr="0066750A">
              <w:rPr>
                <w:rFonts w:cstheme="minorHAnsi"/>
                <w:b/>
                <w:bCs/>
              </w:rPr>
              <w:t>20230123:</w:t>
            </w:r>
          </w:p>
          <w:p w14:paraId="2BCA0122"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7F9A309E" w14:textId="64A613F9" w:rsidR="002A41AC" w:rsidRPr="0066750A" w:rsidRDefault="002A41AC" w:rsidP="00964227">
            <w:pPr>
              <w:ind w:left="387" w:right="142"/>
              <w:rPr>
                <w:rFonts w:cstheme="minorHAnsi"/>
              </w:rPr>
            </w:pPr>
            <w:r w:rsidRPr="0066750A">
              <w:rPr>
                <w:rFonts w:cstheme="minorHAnsi"/>
                <w:i/>
                <w:iCs/>
              </w:rPr>
              <w:t xml:space="preserve">A set of one or more LFC Blocks under the responsibility of </w:t>
            </w:r>
            <w:r w:rsidR="00F66237">
              <w:rPr>
                <w:rFonts w:cstheme="minorHAnsi"/>
                <w:i/>
                <w:iCs/>
              </w:rPr>
              <w:t>a</w:t>
            </w:r>
            <w:r w:rsidRPr="0066750A">
              <w:rPr>
                <w:rFonts w:cstheme="minorHAnsi"/>
                <w:i/>
                <w:iCs/>
              </w:rPr>
              <w:t xml:space="preserve"> Coordination Centre Operator.</w:t>
            </w:r>
          </w:p>
        </w:tc>
      </w:tr>
      <w:tr w:rsidR="002A41AC" w:rsidRPr="0066750A" w14:paraId="6F153A06" w14:textId="77777777" w:rsidTr="00964227">
        <w:trPr>
          <w:tblCellSpacing w:w="15" w:type="dxa"/>
        </w:trPr>
        <w:tc>
          <w:tcPr>
            <w:tcW w:w="749" w:type="dxa"/>
            <w:vAlign w:val="center"/>
          </w:tcPr>
          <w:p w14:paraId="3CCA241B"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31D7FC92" w14:textId="77777777" w:rsidR="002A41AC" w:rsidRPr="0066750A" w:rsidRDefault="002A41AC" w:rsidP="00964227">
            <w:pPr>
              <w:ind w:left="109"/>
              <w:rPr>
                <w:rFonts w:cstheme="minorHAnsi"/>
              </w:rPr>
            </w:pPr>
            <w:r w:rsidRPr="0066750A">
              <w:rPr>
                <w:rFonts w:cstheme="minorHAnsi"/>
              </w:rPr>
              <w:t>Exchange Point</w:t>
            </w:r>
          </w:p>
        </w:tc>
        <w:tc>
          <w:tcPr>
            <w:tcW w:w="3656" w:type="dxa"/>
            <w:vAlign w:val="center"/>
          </w:tcPr>
          <w:p w14:paraId="460141EF"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A domain for establishing energy exchange between two Metering Grid Areas. </w:t>
            </w:r>
          </w:p>
          <w:p w14:paraId="394B3FF2" w14:textId="77777777" w:rsidR="002A41AC" w:rsidRPr="0066750A" w:rsidRDefault="002A41AC" w:rsidP="00964227">
            <w:pPr>
              <w:ind w:left="109"/>
              <w:rPr>
                <w:rFonts w:cstheme="minorHAnsi"/>
                <w:b/>
                <w:bCs/>
              </w:rPr>
            </w:pPr>
            <w:r w:rsidRPr="0066750A">
              <w:rPr>
                <w:rFonts w:cstheme="minorHAnsi"/>
                <w:b/>
                <w:bCs/>
              </w:rPr>
              <w:t>Additional information:</w:t>
            </w:r>
          </w:p>
          <w:p w14:paraId="16E103C1" w14:textId="77777777" w:rsidR="002A41AC" w:rsidRPr="0066750A" w:rsidRDefault="002A41AC" w:rsidP="00964227">
            <w:pPr>
              <w:ind w:left="108" w:right="142"/>
              <w:rPr>
                <w:rFonts w:cstheme="minorHAnsi"/>
              </w:rPr>
            </w:pPr>
            <w:r w:rsidRPr="0066750A">
              <w:rPr>
                <w:rFonts w:cstheme="minorHAnsi"/>
              </w:rPr>
              <w:t>This is a type of Metering Point.</w:t>
            </w:r>
          </w:p>
        </w:tc>
        <w:tc>
          <w:tcPr>
            <w:tcW w:w="4065" w:type="dxa"/>
          </w:tcPr>
          <w:p w14:paraId="5159B89D" w14:textId="77777777" w:rsidR="002A41AC" w:rsidRPr="0066750A" w:rsidRDefault="002A41AC" w:rsidP="00964227">
            <w:pPr>
              <w:rPr>
                <w:rFonts w:cstheme="minorHAnsi"/>
                <w:b/>
                <w:bCs/>
              </w:rPr>
            </w:pPr>
            <w:r w:rsidRPr="0066750A">
              <w:rPr>
                <w:rFonts w:cstheme="minorHAnsi"/>
                <w:b/>
                <w:bCs/>
              </w:rPr>
              <w:t>20230116:</w:t>
            </w:r>
          </w:p>
          <w:p w14:paraId="7A0C2D08"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40288F7B" w14:textId="77777777" w:rsidR="002A41AC" w:rsidRPr="0066750A" w:rsidRDefault="002A41AC" w:rsidP="00964227">
            <w:pPr>
              <w:pStyle w:val="NormalWeb"/>
              <w:spacing w:before="60" w:beforeAutospacing="0" w:after="240" w:afterAutospacing="0"/>
              <w:ind w:left="387"/>
              <w:rPr>
                <w:rFonts w:cstheme="minorHAnsi"/>
                <w:i/>
                <w:iCs/>
                <w:sz w:val="22"/>
                <w:szCs w:val="22"/>
              </w:rPr>
            </w:pPr>
            <w:r w:rsidRPr="0066750A">
              <w:rPr>
                <w:rFonts w:cstheme="minorHAnsi"/>
                <w:i/>
                <w:iCs/>
                <w:sz w:val="22"/>
                <w:szCs w:val="22"/>
              </w:rPr>
              <w:t xml:space="preserve">A Metering Point for establishing energy exchange between two Metering Grid Areas. </w:t>
            </w:r>
          </w:p>
        </w:tc>
      </w:tr>
      <w:tr w:rsidR="002A41AC" w:rsidRPr="0066750A" w14:paraId="3857175A" w14:textId="77777777" w:rsidTr="00964227">
        <w:trPr>
          <w:tblCellSpacing w:w="15" w:type="dxa"/>
        </w:trPr>
        <w:tc>
          <w:tcPr>
            <w:tcW w:w="749" w:type="dxa"/>
            <w:vAlign w:val="center"/>
          </w:tcPr>
          <w:p w14:paraId="1C5FD7F1"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23EBF16C" w14:textId="77777777" w:rsidR="002A41AC" w:rsidRPr="0066750A" w:rsidRDefault="002A41AC" w:rsidP="00964227">
            <w:pPr>
              <w:ind w:left="109"/>
              <w:rPr>
                <w:rFonts w:cstheme="minorHAnsi"/>
              </w:rPr>
            </w:pPr>
            <w:bookmarkStart w:id="10" w:name="_Hlk89939406"/>
            <w:r w:rsidRPr="0066750A">
              <w:rPr>
                <w:rFonts w:cstheme="minorHAnsi"/>
              </w:rPr>
              <w:t>FRR Sharing Region</w:t>
            </w:r>
            <w:bookmarkEnd w:id="10"/>
          </w:p>
        </w:tc>
        <w:tc>
          <w:tcPr>
            <w:tcW w:w="3656" w:type="dxa"/>
            <w:vAlign w:val="center"/>
          </w:tcPr>
          <w:p w14:paraId="2D9990E8" w14:textId="77777777" w:rsidR="002A41AC" w:rsidRPr="0066750A" w:rsidRDefault="002A41AC" w:rsidP="00964227">
            <w:pPr>
              <w:pStyle w:val="NormalWeb"/>
              <w:spacing w:before="60" w:beforeAutospacing="0" w:after="240" w:afterAutospacing="0"/>
              <w:ind w:left="108"/>
              <w:rPr>
                <w:rFonts w:cstheme="minorHAnsi"/>
                <w:sz w:val="22"/>
                <w:szCs w:val="22"/>
              </w:rPr>
            </w:pPr>
            <w:bookmarkStart w:id="11" w:name="_Hlk89939418"/>
            <w:r w:rsidRPr="0066750A">
              <w:rPr>
                <w:rFonts w:cstheme="minorHAnsi"/>
                <w:sz w:val="22"/>
                <w:szCs w:val="22"/>
                <w:lang w:eastAsia="sv-SE"/>
              </w:rPr>
              <w:t xml:space="preserve">A set of LFC Areas of the same synchronous area, but not necessarily the same Bidding Zone. All LFC Areas of a FRR Sharing Region share a certain amount of FRR with each other. </w:t>
            </w:r>
          </w:p>
          <w:p w14:paraId="7758D17F" w14:textId="77777777" w:rsidR="002A41AC" w:rsidRPr="0066750A" w:rsidRDefault="002A41AC" w:rsidP="00964227">
            <w:pPr>
              <w:ind w:left="109"/>
              <w:rPr>
                <w:rFonts w:cstheme="minorHAnsi"/>
                <w:b/>
                <w:bCs/>
              </w:rPr>
            </w:pPr>
            <w:r w:rsidRPr="0066750A">
              <w:rPr>
                <w:rFonts w:cstheme="minorHAnsi"/>
                <w:b/>
                <w:bCs/>
              </w:rPr>
              <w:t>Additional information:</w:t>
            </w:r>
          </w:p>
          <w:p w14:paraId="2569DE57" w14:textId="77777777" w:rsidR="002A41AC" w:rsidRPr="0066750A" w:rsidRDefault="002A41AC" w:rsidP="00964227">
            <w:pPr>
              <w:ind w:left="108"/>
              <w:rPr>
                <w:rFonts w:cstheme="minorHAnsi"/>
              </w:rPr>
            </w:pPr>
            <w:r w:rsidRPr="0066750A">
              <w:rPr>
                <w:rFonts w:cstheme="minorHAnsi"/>
              </w:rPr>
              <w:lastRenderedPageBreak/>
              <w:t xml:space="preserve">Based on: </w:t>
            </w:r>
            <w:hyperlink r:id="rId27" w:history="1">
              <w:r w:rsidRPr="0066750A">
                <w:rPr>
                  <w:rStyle w:val="Hyperlink"/>
                  <w:rFonts w:cstheme="minorHAnsi"/>
                </w:rPr>
                <w:t>System Operation Guideline, Commission Regulation (EU) 2017/1485</w:t>
              </w:r>
            </w:hyperlink>
            <w:r w:rsidRPr="0066750A">
              <w:rPr>
                <w:rFonts w:cstheme="minorHAnsi"/>
              </w:rPr>
              <w:t>, Article 168.</w:t>
            </w:r>
            <w:bookmarkEnd w:id="11"/>
          </w:p>
        </w:tc>
        <w:tc>
          <w:tcPr>
            <w:tcW w:w="4065" w:type="dxa"/>
          </w:tcPr>
          <w:p w14:paraId="698363FA" w14:textId="77777777" w:rsidR="002A41AC" w:rsidRPr="0066750A" w:rsidRDefault="002A41AC" w:rsidP="00964227">
            <w:pPr>
              <w:rPr>
                <w:rFonts w:cstheme="minorHAnsi"/>
                <w:b/>
                <w:bCs/>
              </w:rPr>
            </w:pPr>
            <w:r w:rsidRPr="0066750A">
              <w:rPr>
                <w:rFonts w:cstheme="minorHAnsi"/>
                <w:b/>
                <w:bCs/>
              </w:rPr>
              <w:lastRenderedPageBreak/>
              <w:t>20230123:</w:t>
            </w:r>
          </w:p>
          <w:p w14:paraId="709F6CBF"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2F1BD00D" w14:textId="77777777" w:rsidR="002A41AC" w:rsidRPr="0066750A" w:rsidRDefault="002A41AC" w:rsidP="00964227">
            <w:pPr>
              <w:pStyle w:val="NormalWeb"/>
              <w:spacing w:before="60" w:beforeAutospacing="0" w:after="240" w:afterAutospacing="0"/>
              <w:ind w:left="387"/>
              <w:rPr>
                <w:rFonts w:cstheme="minorHAnsi"/>
                <w:i/>
                <w:iCs/>
                <w:sz w:val="22"/>
                <w:szCs w:val="22"/>
              </w:rPr>
            </w:pPr>
            <w:r w:rsidRPr="0066750A">
              <w:rPr>
                <w:rFonts w:cstheme="minorHAnsi"/>
                <w:i/>
                <w:iCs/>
                <w:sz w:val="22"/>
                <w:szCs w:val="22"/>
              </w:rPr>
              <w:t>A set of one or more LFC Areas</w:t>
            </w:r>
            <w:r w:rsidRPr="0066750A">
              <w:rPr>
                <w:rFonts w:cstheme="minorHAnsi"/>
                <w:sz w:val="22"/>
                <w:szCs w:val="22"/>
                <w:lang w:eastAsia="sv-SE"/>
              </w:rPr>
              <w:t xml:space="preserve"> </w:t>
            </w:r>
            <w:r w:rsidRPr="0066750A">
              <w:rPr>
                <w:rFonts w:cstheme="minorHAnsi"/>
                <w:i/>
                <w:iCs/>
                <w:sz w:val="22"/>
                <w:szCs w:val="22"/>
                <w:lang w:eastAsia="sv-SE"/>
              </w:rPr>
              <w:t>of the same synchronous area</w:t>
            </w:r>
            <w:r w:rsidRPr="0066750A">
              <w:rPr>
                <w:rFonts w:cstheme="minorHAnsi"/>
                <w:i/>
                <w:iCs/>
                <w:sz w:val="22"/>
                <w:szCs w:val="22"/>
              </w:rPr>
              <w:t xml:space="preserve"> sharing a certain amount of FRR with each other.</w:t>
            </w:r>
          </w:p>
          <w:p w14:paraId="56229E24" w14:textId="2006EA62" w:rsidR="002A41AC" w:rsidRPr="0066750A" w:rsidRDefault="00F66237" w:rsidP="00964227">
            <w:pPr>
              <w:pStyle w:val="NormalWeb"/>
              <w:spacing w:before="60" w:beforeAutospacing="0" w:after="240" w:afterAutospacing="0"/>
              <w:ind w:left="387"/>
              <w:rPr>
                <w:rFonts w:cstheme="minorHAnsi"/>
                <w:i/>
                <w:iCs/>
                <w:sz w:val="22"/>
                <w:szCs w:val="22"/>
              </w:rPr>
            </w:pPr>
            <w:r>
              <w:rPr>
                <w:rFonts w:cstheme="minorHAnsi"/>
                <w:b/>
                <w:bCs/>
                <w:i/>
                <w:iCs/>
                <w:sz w:val="22"/>
                <w:szCs w:val="22"/>
              </w:rPr>
              <w:lastRenderedPageBreak/>
              <w:t>Source</w:t>
            </w:r>
            <w:r w:rsidR="002A41AC" w:rsidRPr="0066750A">
              <w:rPr>
                <w:rFonts w:cstheme="minorHAnsi"/>
                <w:i/>
                <w:iCs/>
                <w:sz w:val="22"/>
                <w:szCs w:val="22"/>
              </w:rPr>
              <w:t xml:space="preserve">: </w:t>
            </w:r>
            <w:hyperlink r:id="rId28" w:history="1">
              <w:r w:rsidR="002A41AC" w:rsidRPr="0066750A">
                <w:rPr>
                  <w:rStyle w:val="Hyperlink"/>
                  <w:rFonts w:cstheme="minorHAnsi"/>
                  <w:i/>
                  <w:iCs/>
                  <w:sz w:val="22"/>
                  <w:szCs w:val="22"/>
                </w:rPr>
                <w:t>System Operation Guideline, Commission Regulation (EU) 2017/1485</w:t>
              </w:r>
            </w:hyperlink>
            <w:r w:rsidR="002A41AC" w:rsidRPr="0066750A">
              <w:rPr>
                <w:rFonts w:cstheme="minorHAnsi"/>
                <w:i/>
                <w:iCs/>
                <w:sz w:val="22"/>
                <w:szCs w:val="22"/>
              </w:rPr>
              <w:t>, Article 168.</w:t>
            </w:r>
          </w:p>
          <w:p w14:paraId="53C992C2" w14:textId="77777777" w:rsidR="00F66237" w:rsidRPr="0066750A" w:rsidRDefault="00F66237" w:rsidP="00F66237">
            <w:pPr>
              <w:spacing w:after="0"/>
              <w:ind w:left="386"/>
              <w:rPr>
                <w:rFonts w:cstheme="minorHAnsi"/>
                <w:b/>
                <w:bCs/>
                <w:i/>
                <w:iCs/>
              </w:rPr>
            </w:pPr>
            <w:r w:rsidRPr="0066750A">
              <w:rPr>
                <w:rFonts w:cstheme="minorHAnsi"/>
                <w:b/>
                <w:bCs/>
                <w:i/>
                <w:iCs/>
              </w:rPr>
              <w:t>Additional information:</w:t>
            </w:r>
          </w:p>
          <w:p w14:paraId="0919A838" w14:textId="77777777" w:rsidR="002A41AC" w:rsidRPr="0066750A" w:rsidRDefault="002A41AC" w:rsidP="00964227">
            <w:pPr>
              <w:pStyle w:val="NormalWeb"/>
              <w:spacing w:before="60" w:beforeAutospacing="0" w:after="240" w:afterAutospacing="0"/>
              <w:ind w:left="387"/>
              <w:rPr>
                <w:rFonts w:cstheme="minorHAnsi"/>
                <w:sz w:val="22"/>
                <w:szCs w:val="22"/>
                <w:lang w:eastAsia="sv-SE"/>
              </w:rPr>
            </w:pPr>
            <w:r w:rsidRPr="0066750A">
              <w:rPr>
                <w:rFonts w:cstheme="minorHAnsi"/>
                <w:i/>
                <w:iCs/>
                <w:sz w:val="22"/>
                <w:szCs w:val="22"/>
              </w:rPr>
              <w:t>The LCF Areas are not necessarily within the same Bidding Zone.</w:t>
            </w:r>
          </w:p>
        </w:tc>
      </w:tr>
      <w:tr w:rsidR="002A41AC" w:rsidRPr="0066750A" w14:paraId="02B7D0ED" w14:textId="77777777" w:rsidTr="00964227">
        <w:trPr>
          <w:tblCellSpacing w:w="15" w:type="dxa"/>
        </w:trPr>
        <w:tc>
          <w:tcPr>
            <w:tcW w:w="749" w:type="dxa"/>
            <w:vAlign w:val="center"/>
          </w:tcPr>
          <w:p w14:paraId="0027BB94" w14:textId="77777777" w:rsidR="002A41AC" w:rsidRPr="0066750A" w:rsidRDefault="002A41AC" w:rsidP="00964227">
            <w:pPr>
              <w:rPr>
                <w:rFonts w:cstheme="minorHAnsi"/>
              </w:rPr>
            </w:pPr>
            <w:r w:rsidRPr="0066750A">
              <w:rPr>
                <w:rFonts w:cstheme="minorHAnsi"/>
              </w:rPr>
              <w:lastRenderedPageBreak/>
              <w:t>Domain</w:t>
            </w:r>
          </w:p>
        </w:tc>
        <w:tc>
          <w:tcPr>
            <w:tcW w:w="1581" w:type="dxa"/>
            <w:vAlign w:val="center"/>
          </w:tcPr>
          <w:p w14:paraId="0F53D51D" w14:textId="77777777" w:rsidR="002A41AC" w:rsidRPr="0066750A" w:rsidRDefault="002A41AC" w:rsidP="00964227">
            <w:pPr>
              <w:ind w:left="109"/>
              <w:rPr>
                <w:rFonts w:cstheme="minorHAnsi"/>
              </w:rPr>
            </w:pPr>
            <w:r w:rsidRPr="0066750A">
              <w:rPr>
                <w:rFonts w:cstheme="minorHAnsi"/>
              </w:rPr>
              <w:t>LFC Area</w:t>
            </w:r>
          </w:p>
        </w:tc>
        <w:tc>
          <w:tcPr>
            <w:tcW w:w="3656" w:type="dxa"/>
            <w:vAlign w:val="center"/>
          </w:tcPr>
          <w:p w14:paraId="1E2383CB"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A part of a synchronous area or an entire synchronous area, physically demarcated by points of measurement at interconnectors to other LFC Areas, operated by one or more TSOs fulfilling the obligations of load-frequency control.</w:t>
            </w:r>
          </w:p>
          <w:p w14:paraId="5383C4D0" w14:textId="77777777" w:rsidR="002A41AC" w:rsidRPr="0066750A" w:rsidRDefault="002A41AC" w:rsidP="00964227">
            <w:pPr>
              <w:ind w:left="108" w:right="142"/>
              <w:rPr>
                <w:rFonts w:cstheme="minorHAnsi"/>
              </w:rPr>
            </w:pPr>
            <w:r w:rsidRPr="0066750A">
              <w:rPr>
                <w:rFonts w:cstheme="minorHAnsi"/>
                <w:b/>
                <w:bCs/>
              </w:rPr>
              <w:t>Source:</w:t>
            </w:r>
            <w:r w:rsidRPr="0066750A">
              <w:rPr>
                <w:rFonts w:cstheme="minorHAnsi"/>
              </w:rPr>
              <w:t xml:space="preserve"> </w:t>
            </w:r>
            <w:hyperlink r:id="rId29" w:history="1">
              <w:r w:rsidRPr="0066750A">
                <w:rPr>
                  <w:rStyle w:val="Hyperlink"/>
                  <w:rFonts w:cstheme="minorHAnsi"/>
                </w:rPr>
                <w:t>System Operation Guideline, Commission Regulation (EU) 2017/1485.</w:t>
              </w:r>
            </w:hyperlink>
          </w:p>
        </w:tc>
        <w:tc>
          <w:tcPr>
            <w:tcW w:w="4065" w:type="dxa"/>
          </w:tcPr>
          <w:p w14:paraId="01224937" w14:textId="77777777" w:rsidR="002A41AC" w:rsidRPr="0066750A" w:rsidRDefault="002A41AC" w:rsidP="00964227">
            <w:pPr>
              <w:rPr>
                <w:rFonts w:cstheme="minorHAnsi"/>
                <w:b/>
                <w:bCs/>
              </w:rPr>
            </w:pPr>
            <w:r w:rsidRPr="0066750A">
              <w:rPr>
                <w:rFonts w:cstheme="minorHAnsi"/>
                <w:b/>
                <w:bCs/>
              </w:rPr>
              <w:t>20230123:</w:t>
            </w:r>
          </w:p>
          <w:p w14:paraId="1B5F7ACE"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38F6F0AD" w14:textId="06761D60" w:rsidR="002A41AC" w:rsidRPr="0066750A" w:rsidRDefault="002A41AC" w:rsidP="00964227">
            <w:pPr>
              <w:pStyle w:val="NormalWeb"/>
              <w:spacing w:before="60" w:beforeAutospacing="0" w:after="240" w:afterAutospacing="0"/>
              <w:ind w:left="387"/>
              <w:rPr>
                <w:rFonts w:cstheme="minorHAnsi"/>
                <w:i/>
                <w:iCs/>
                <w:sz w:val="22"/>
                <w:szCs w:val="22"/>
              </w:rPr>
            </w:pPr>
            <w:r w:rsidRPr="0066750A">
              <w:rPr>
                <w:rFonts w:cstheme="minorHAnsi"/>
                <w:i/>
                <w:iCs/>
                <w:sz w:val="22"/>
                <w:szCs w:val="22"/>
              </w:rPr>
              <w:t xml:space="preserve">A part of a synchronous area or an entire synchronous area operated by one or more </w:t>
            </w:r>
            <w:r w:rsidR="00F66237">
              <w:rPr>
                <w:rFonts w:cstheme="minorHAnsi"/>
                <w:i/>
                <w:iCs/>
                <w:sz w:val="22"/>
                <w:szCs w:val="22"/>
              </w:rPr>
              <w:t>System Operators for transmission grids</w:t>
            </w:r>
            <w:r w:rsidRPr="0066750A">
              <w:rPr>
                <w:rFonts w:cstheme="minorHAnsi"/>
                <w:i/>
                <w:iCs/>
                <w:sz w:val="22"/>
                <w:szCs w:val="22"/>
              </w:rPr>
              <w:t xml:space="preserve"> fulfilling the obligations of load-frequency control.</w:t>
            </w:r>
          </w:p>
          <w:p w14:paraId="742C2EF8" w14:textId="1B67E206" w:rsidR="00F66237" w:rsidRDefault="00F66237" w:rsidP="00964227">
            <w:pPr>
              <w:pStyle w:val="NormalWeb"/>
              <w:spacing w:before="60" w:beforeAutospacing="0" w:after="0" w:afterAutospacing="0"/>
              <w:ind w:left="386"/>
              <w:rPr>
                <w:rStyle w:val="Hyperlink"/>
                <w:rFonts w:cstheme="minorHAnsi"/>
                <w:sz w:val="22"/>
                <w:szCs w:val="22"/>
              </w:rPr>
            </w:pPr>
            <w:r w:rsidRPr="00F66237">
              <w:rPr>
                <w:rFonts w:cstheme="minorHAnsi"/>
                <w:b/>
                <w:bCs/>
                <w:sz w:val="22"/>
                <w:szCs w:val="22"/>
              </w:rPr>
              <w:t>Source:</w:t>
            </w:r>
            <w:r w:rsidRPr="00F66237">
              <w:rPr>
                <w:rFonts w:cstheme="minorHAnsi"/>
                <w:sz w:val="22"/>
                <w:szCs w:val="22"/>
              </w:rPr>
              <w:t xml:space="preserve"> </w:t>
            </w:r>
            <w:hyperlink r:id="rId30" w:history="1">
              <w:r w:rsidRPr="00F66237">
                <w:rPr>
                  <w:rStyle w:val="Hyperlink"/>
                  <w:rFonts w:cstheme="minorHAnsi"/>
                  <w:sz w:val="22"/>
                  <w:szCs w:val="22"/>
                </w:rPr>
                <w:t>System Operation Guideline, Commission Regulation (EU) 2017/1485.</w:t>
              </w:r>
            </w:hyperlink>
          </w:p>
          <w:p w14:paraId="49CF4A57" w14:textId="77777777" w:rsidR="00F66237" w:rsidRPr="00F66237" w:rsidRDefault="00F66237" w:rsidP="00964227">
            <w:pPr>
              <w:pStyle w:val="NormalWeb"/>
              <w:spacing w:before="60" w:beforeAutospacing="0" w:after="0" w:afterAutospacing="0"/>
              <w:ind w:left="386"/>
              <w:rPr>
                <w:rFonts w:cstheme="minorHAnsi"/>
                <w:b/>
                <w:bCs/>
                <w:i/>
                <w:iCs/>
                <w:sz w:val="20"/>
                <w:szCs w:val="20"/>
              </w:rPr>
            </w:pPr>
          </w:p>
          <w:p w14:paraId="747BF8E5" w14:textId="55107A2F" w:rsidR="002A41AC" w:rsidRPr="0066750A" w:rsidRDefault="002A41AC" w:rsidP="00964227">
            <w:pPr>
              <w:pStyle w:val="NormalWeb"/>
              <w:spacing w:before="60" w:beforeAutospacing="0" w:after="0" w:afterAutospacing="0"/>
              <w:ind w:left="386"/>
              <w:rPr>
                <w:rFonts w:cstheme="minorHAnsi"/>
                <w:b/>
                <w:bCs/>
                <w:i/>
                <w:iCs/>
                <w:sz w:val="22"/>
                <w:szCs w:val="22"/>
              </w:rPr>
            </w:pPr>
            <w:r w:rsidRPr="0066750A">
              <w:rPr>
                <w:rFonts w:cstheme="minorHAnsi"/>
                <w:b/>
                <w:bCs/>
                <w:i/>
                <w:iCs/>
                <w:sz w:val="22"/>
                <w:szCs w:val="22"/>
              </w:rPr>
              <w:t>Additional information:</w:t>
            </w:r>
          </w:p>
          <w:p w14:paraId="53085BD5" w14:textId="0C4B07C0" w:rsidR="002A41AC" w:rsidRPr="0066750A" w:rsidRDefault="002A41AC" w:rsidP="00964227">
            <w:pPr>
              <w:pStyle w:val="NormalWeb"/>
              <w:spacing w:before="60" w:beforeAutospacing="0" w:after="240" w:afterAutospacing="0"/>
              <w:ind w:left="387"/>
              <w:rPr>
                <w:rFonts w:cstheme="minorHAnsi"/>
                <w:b/>
                <w:bCs/>
                <w:sz w:val="22"/>
                <w:szCs w:val="22"/>
              </w:rPr>
            </w:pPr>
            <w:r w:rsidRPr="0066750A">
              <w:rPr>
                <w:rFonts w:cstheme="minorHAnsi"/>
                <w:i/>
                <w:iCs/>
                <w:sz w:val="22"/>
                <w:szCs w:val="22"/>
              </w:rPr>
              <w:t xml:space="preserve">An LFC area is physically demarcated by </w:t>
            </w:r>
            <w:r w:rsidR="006B2E0B">
              <w:rPr>
                <w:rFonts w:cstheme="minorHAnsi"/>
                <w:i/>
                <w:iCs/>
                <w:sz w:val="22"/>
                <w:szCs w:val="22"/>
              </w:rPr>
              <w:t xml:space="preserve">Exchange Points </w:t>
            </w:r>
            <w:r w:rsidRPr="0066750A">
              <w:rPr>
                <w:rFonts w:cstheme="minorHAnsi"/>
                <w:i/>
                <w:iCs/>
                <w:sz w:val="22"/>
                <w:szCs w:val="22"/>
              </w:rPr>
              <w:t>to other LFC Areas.</w:t>
            </w:r>
          </w:p>
        </w:tc>
      </w:tr>
      <w:tr w:rsidR="002A41AC" w:rsidRPr="0066750A" w14:paraId="7771D94B" w14:textId="77777777" w:rsidTr="00964227">
        <w:trPr>
          <w:tblCellSpacing w:w="15" w:type="dxa"/>
        </w:trPr>
        <w:tc>
          <w:tcPr>
            <w:tcW w:w="749" w:type="dxa"/>
            <w:vAlign w:val="center"/>
          </w:tcPr>
          <w:p w14:paraId="60D6BFB4" w14:textId="77777777" w:rsidR="002A41AC" w:rsidRPr="0066750A" w:rsidRDefault="002A41AC" w:rsidP="00964227">
            <w:pPr>
              <w:rPr>
                <w:rFonts w:cstheme="minorHAnsi"/>
              </w:rPr>
            </w:pPr>
            <w:r w:rsidRPr="0066750A">
              <w:rPr>
                <w:rFonts w:cstheme="minorHAnsi"/>
              </w:rPr>
              <w:t>Domain</w:t>
            </w:r>
          </w:p>
        </w:tc>
        <w:tc>
          <w:tcPr>
            <w:tcW w:w="1581" w:type="dxa"/>
            <w:vAlign w:val="center"/>
          </w:tcPr>
          <w:p w14:paraId="298551A8" w14:textId="77777777" w:rsidR="002A41AC" w:rsidRPr="0066750A" w:rsidRDefault="002A41AC" w:rsidP="00964227">
            <w:pPr>
              <w:ind w:left="109"/>
              <w:rPr>
                <w:rFonts w:cstheme="minorHAnsi"/>
              </w:rPr>
            </w:pPr>
            <w:r w:rsidRPr="0066750A">
              <w:rPr>
                <w:rFonts w:cstheme="minorHAnsi"/>
              </w:rPr>
              <w:t>LFC Block</w:t>
            </w:r>
          </w:p>
        </w:tc>
        <w:tc>
          <w:tcPr>
            <w:tcW w:w="3656" w:type="dxa"/>
            <w:vAlign w:val="center"/>
          </w:tcPr>
          <w:p w14:paraId="7A9A6EC6"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A part of a synchronous area or an entire synchronous area, physically demarcated by points of measurement at interconnectors to other LFC Blocks, consisting of one or more LFC Areas, operated by one or more TSOs fulfilling the obligations of load-frequency control.</w:t>
            </w:r>
          </w:p>
          <w:p w14:paraId="11988C7B" w14:textId="77777777" w:rsidR="002A41AC" w:rsidRPr="0066750A" w:rsidRDefault="002A41AC" w:rsidP="00964227">
            <w:pPr>
              <w:ind w:left="108" w:right="142"/>
              <w:rPr>
                <w:rFonts w:cstheme="minorHAnsi"/>
              </w:rPr>
            </w:pPr>
            <w:r w:rsidRPr="0066750A">
              <w:rPr>
                <w:rFonts w:cstheme="minorHAnsi"/>
                <w:b/>
                <w:bCs/>
              </w:rPr>
              <w:t>Source:</w:t>
            </w:r>
            <w:r w:rsidRPr="0066750A">
              <w:rPr>
                <w:rFonts w:cstheme="minorHAnsi"/>
              </w:rPr>
              <w:t xml:space="preserve"> </w:t>
            </w:r>
            <w:hyperlink r:id="rId31" w:history="1">
              <w:r w:rsidRPr="0066750A">
                <w:rPr>
                  <w:rStyle w:val="Hyperlink"/>
                  <w:rFonts w:cstheme="minorHAnsi"/>
                </w:rPr>
                <w:t>System Operation Guideline, Commission Regulation (EU) 2017/1485.</w:t>
              </w:r>
            </w:hyperlink>
          </w:p>
        </w:tc>
        <w:tc>
          <w:tcPr>
            <w:tcW w:w="4065" w:type="dxa"/>
          </w:tcPr>
          <w:p w14:paraId="2452098D" w14:textId="77777777" w:rsidR="002A41AC" w:rsidRPr="0066750A" w:rsidRDefault="002A41AC" w:rsidP="00964227">
            <w:pPr>
              <w:rPr>
                <w:rFonts w:cstheme="minorHAnsi"/>
                <w:b/>
                <w:bCs/>
              </w:rPr>
            </w:pPr>
            <w:r w:rsidRPr="0066750A">
              <w:rPr>
                <w:rFonts w:cstheme="minorHAnsi"/>
                <w:b/>
                <w:bCs/>
              </w:rPr>
              <w:t>20230123:</w:t>
            </w:r>
          </w:p>
          <w:p w14:paraId="7A4528E8"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4AB13869" w14:textId="77777777" w:rsidR="002A41AC" w:rsidRPr="006B2E0B" w:rsidRDefault="002A41AC" w:rsidP="00964227">
            <w:pPr>
              <w:pStyle w:val="NormalWeb"/>
              <w:spacing w:before="60" w:beforeAutospacing="0" w:after="240" w:afterAutospacing="0"/>
              <w:ind w:left="387"/>
              <w:rPr>
                <w:rFonts w:cstheme="minorHAnsi"/>
                <w:i/>
                <w:iCs/>
                <w:sz w:val="20"/>
                <w:szCs w:val="20"/>
              </w:rPr>
            </w:pPr>
            <w:r w:rsidRPr="0066750A">
              <w:rPr>
                <w:rFonts w:cstheme="minorHAnsi"/>
                <w:i/>
                <w:iCs/>
                <w:sz w:val="22"/>
                <w:szCs w:val="22"/>
              </w:rPr>
              <w:t>A set of one or more LFC areas.</w:t>
            </w:r>
          </w:p>
          <w:p w14:paraId="0C2A9CAD" w14:textId="59C94EDF" w:rsidR="006B2E0B" w:rsidRDefault="006B2E0B" w:rsidP="00964227">
            <w:pPr>
              <w:pStyle w:val="NormalWeb"/>
              <w:spacing w:before="60" w:beforeAutospacing="0" w:after="240" w:afterAutospacing="0"/>
              <w:ind w:left="387"/>
              <w:rPr>
                <w:rFonts w:cstheme="minorHAnsi"/>
                <w:i/>
                <w:iCs/>
                <w:sz w:val="22"/>
                <w:szCs w:val="22"/>
              </w:rPr>
            </w:pPr>
            <w:r w:rsidRPr="006B2E0B">
              <w:rPr>
                <w:rFonts w:cstheme="minorHAnsi"/>
                <w:b/>
                <w:bCs/>
                <w:sz w:val="22"/>
                <w:szCs w:val="22"/>
              </w:rPr>
              <w:t>Source:</w:t>
            </w:r>
            <w:r w:rsidRPr="006B2E0B">
              <w:rPr>
                <w:rFonts w:cstheme="minorHAnsi"/>
                <w:sz w:val="22"/>
                <w:szCs w:val="22"/>
              </w:rPr>
              <w:t xml:space="preserve"> </w:t>
            </w:r>
            <w:hyperlink r:id="rId32" w:history="1">
              <w:r w:rsidRPr="006B2E0B">
                <w:rPr>
                  <w:rStyle w:val="Hyperlink"/>
                  <w:rFonts w:cstheme="minorHAnsi"/>
                  <w:sz w:val="22"/>
                  <w:szCs w:val="22"/>
                </w:rPr>
                <w:t>System Operation Guideline, Commission Regulation (EU) 2017/1485.</w:t>
              </w:r>
            </w:hyperlink>
          </w:p>
          <w:p w14:paraId="4A3F3F72" w14:textId="77777777" w:rsidR="006B2E0B" w:rsidRPr="0066750A" w:rsidRDefault="006B2E0B" w:rsidP="00964227">
            <w:pPr>
              <w:pStyle w:val="NormalWeb"/>
              <w:spacing w:before="60" w:beforeAutospacing="0" w:after="240" w:afterAutospacing="0"/>
              <w:ind w:left="387"/>
              <w:rPr>
                <w:rFonts w:cstheme="minorHAnsi"/>
                <w:sz w:val="22"/>
                <w:szCs w:val="22"/>
              </w:rPr>
            </w:pPr>
          </w:p>
        </w:tc>
      </w:tr>
      <w:tr w:rsidR="002A41AC" w:rsidRPr="0066750A" w14:paraId="13CC6952" w14:textId="77777777" w:rsidTr="00964227">
        <w:trPr>
          <w:tblCellSpacing w:w="15" w:type="dxa"/>
        </w:trPr>
        <w:tc>
          <w:tcPr>
            <w:tcW w:w="749" w:type="dxa"/>
            <w:vAlign w:val="center"/>
          </w:tcPr>
          <w:p w14:paraId="65AA0D20" w14:textId="77777777" w:rsidR="002A41AC" w:rsidRPr="0066750A" w:rsidRDefault="002A41AC" w:rsidP="00964227">
            <w:pPr>
              <w:keepNext/>
              <w:rPr>
                <w:rFonts w:cstheme="minorHAnsi"/>
              </w:rPr>
            </w:pPr>
            <w:r w:rsidRPr="0066750A">
              <w:rPr>
                <w:rFonts w:cstheme="minorHAnsi"/>
              </w:rPr>
              <w:lastRenderedPageBreak/>
              <w:t>Domain</w:t>
            </w:r>
          </w:p>
        </w:tc>
        <w:tc>
          <w:tcPr>
            <w:tcW w:w="1581" w:type="dxa"/>
            <w:vAlign w:val="center"/>
            <w:hideMark/>
          </w:tcPr>
          <w:p w14:paraId="47C680A2" w14:textId="77777777" w:rsidR="002A41AC" w:rsidRPr="0066750A" w:rsidRDefault="002A41AC" w:rsidP="00964227">
            <w:pPr>
              <w:keepNext/>
              <w:ind w:left="109"/>
              <w:rPr>
                <w:rFonts w:cstheme="minorHAnsi"/>
              </w:rPr>
            </w:pPr>
            <w:r w:rsidRPr="0066750A">
              <w:rPr>
                <w:rFonts w:cstheme="minorHAnsi"/>
              </w:rPr>
              <w:t>Metering Grid Area</w:t>
            </w:r>
          </w:p>
        </w:tc>
        <w:tc>
          <w:tcPr>
            <w:tcW w:w="3656" w:type="dxa"/>
            <w:vAlign w:val="center"/>
            <w:hideMark/>
          </w:tcPr>
          <w:p w14:paraId="254191EF"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A Metering Grid Area is a physical area where consumption, production and exchange can be measured. It is delimited by the placement of meters for continuous measurement for input to, and withdrawal from the area. </w:t>
            </w:r>
          </w:p>
          <w:p w14:paraId="5F883173" w14:textId="77777777" w:rsidR="002A41AC" w:rsidRPr="0066750A" w:rsidRDefault="002A41AC" w:rsidP="00964227">
            <w:pPr>
              <w:keepNext/>
              <w:ind w:left="109"/>
              <w:rPr>
                <w:rFonts w:cstheme="minorHAnsi"/>
                <w:b/>
              </w:rPr>
            </w:pPr>
            <w:r w:rsidRPr="0066750A">
              <w:rPr>
                <w:rFonts w:cstheme="minorHAnsi"/>
                <w:b/>
              </w:rPr>
              <w:t>Additional information:</w:t>
            </w:r>
          </w:p>
          <w:p w14:paraId="06DDE864" w14:textId="77777777" w:rsidR="002A41AC" w:rsidRPr="0066750A" w:rsidRDefault="002A41AC" w:rsidP="00964227">
            <w:pPr>
              <w:ind w:left="108" w:right="142"/>
              <w:rPr>
                <w:rFonts w:cstheme="minorHAnsi"/>
              </w:rPr>
            </w:pPr>
            <w:r w:rsidRPr="0066750A">
              <w:rPr>
                <w:rFonts w:cstheme="minorHAnsi"/>
              </w:rPr>
              <w:t>It can be used to establish volumes that cannot be measured such as network losses.</w:t>
            </w:r>
          </w:p>
        </w:tc>
        <w:tc>
          <w:tcPr>
            <w:tcW w:w="4065" w:type="dxa"/>
          </w:tcPr>
          <w:p w14:paraId="0A28EF1E" w14:textId="77777777" w:rsidR="002A41AC" w:rsidRPr="0066750A" w:rsidRDefault="002A41AC" w:rsidP="00964227">
            <w:pPr>
              <w:rPr>
                <w:rFonts w:cstheme="minorHAnsi"/>
                <w:b/>
                <w:bCs/>
              </w:rPr>
            </w:pPr>
            <w:r w:rsidRPr="0066750A">
              <w:rPr>
                <w:rFonts w:cstheme="minorHAnsi"/>
                <w:b/>
                <w:bCs/>
              </w:rPr>
              <w:t>20230116:</w:t>
            </w:r>
          </w:p>
          <w:p w14:paraId="5F69FA82"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7FBC384C" w14:textId="45948240" w:rsidR="002A41AC" w:rsidRPr="0066750A" w:rsidRDefault="002A41AC" w:rsidP="006B2E0B">
            <w:pPr>
              <w:pStyle w:val="ListParagraph"/>
              <w:numPr>
                <w:ilvl w:val="0"/>
                <w:numId w:val="0"/>
              </w:numPr>
              <w:autoSpaceDE/>
              <w:autoSpaceDN/>
              <w:ind w:left="387"/>
              <w:rPr>
                <w:rFonts w:asciiTheme="minorHAnsi" w:hAnsiTheme="minorHAnsi"/>
                <w:i/>
                <w:iCs/>
              </w:rPr>
            </w:pPr>
            <w:r w:rsidRPr="0066750A">
              <w:rPr>
                <w:rFonts w:asciiTheme="minorHAnsi" w:hAnsiTheme="minorHAnsi"/>
                <w:i/>
                <w:iCs/>
              </w:rPr>
              <w:t xml:space="preserve">A Metering Grid Area is a physical grid where all energy in- and out-feed is measured. It is physically demarcated by </w:t>
            </w:r>
            <w:r w:rsidR="006B2E0B">
              <w:rPr>
                <w:rFonts w:asciiTheme="minorHAnsi" w:hAnsiTheme="minorHAnsi"/>
                <w:i/>
                <w:iCs/>
              </w:rPr>
              <w:t xml:space="preserve">Exchange Points to other </w:t>
            </w:r>
            <w:r w:rsidRPr="0066750A">
              <w:rPr>
                <w:rFonts w:asciiTheme="minorHAnsi" w:hAnsiTheme="minorHAnsi"/>
                <w:i/>
                <w:iCs/>
              </w:rPr>
              <w:t>Metering Grid Area</w:t>
            </w:r>
            <w:r w:rsidR="006B2E0B">
              <w:rPr>
                <w:rFonts w:asciiTheme="minorHAnsi" w:hAnsiTheme="minorHAnsi"/>
                <w:i/>
                <w:iCs/>
              </w:rPr>
              <w:t>(s)</w:t>
            </w:r>
            <w:r w:rsidRPr="0066750A">
              <w:rPr>
                <w:rFonts w:asciiTheme="minorHAnsi" w:hAnsiTheme="minorHAnsi"/>
                <w:i/>
                <w:iCs/>
              </w:rPr>
              <w:t>.</w:t>
            </w:r>
          </w:p>
          <w:p w14:paraId="72C8AB1A" w14:textId="77777777" w:rsidR="002A41AC" w:rsidRPr="0066750A" w:rsidRDefault="002A41AC" w:rsidP="00964227">
            <w:pPr>
              <w:keepNext/>
              <w:spacing w:after="0"/>
              <w:ind w:left="386"/>
              <w:rPr>
                <w:rFonts w:cstheme="minorHAnsi"/>
                <w:b/>
                <w:i/>
                <w:iCs/>
              </w:rPr>
            </w:pPr>
            <w:r w:rsidRPr="0066750A">
              <w:rPr>
                <w:rFonts w:cstheme="minorHAnsi"/>
                <w:b/>
                <w:i/>
                <w:iCs/>
              </w:rPr>
              <w:t>Additional information:</w:t>
            </w:r>
          </w:p>
          <w:p w14:paraId="48F255A5" w14:textId="0A310A24" w:rsidR="002A41AC" w:rsidRPr="006B2E0B" w:rsidRDefault="002A41AC" w:rsidP="006B2E0B">
            <w:pPr>
              <w:pStyle w:val="ListParagraph"/>
              <w:numPr>
                <w:ilvl w:val="0"/>
                <w:numId w:val="0"/>
              </w:numPr>
              <w:ind w:left="387"/>
              <w:rPr>
                <w:rFonts w:asciiTheme="minorHAnsi" w:hAnsiTheme="minorHAnsi"/>
                <w:i/>
                <w:iCs/>
              </w:rPr>
            </w:pPr>
            <w:r w:rsidRPr="0066750A">
              <w:rPr>
                <w:rFonts w:asciiTheme="minorHAnsi" w:hAnsiTheme="minorHAnsi"/>
                <w:i/>
                <w:iCs/>
              </w:rPr>
              <w:t>It can be used to establish volumes in that grid area that cannot be measured such as grid losses.</w:t>
            </w:r>
          </w:p>
        </w:tc>
      </w:tr>
      <w:tr w:rsidR="002A41AC" w:rsidRPr="0066750A" w14:paraId="24AD70C8" w14:textId="77777777" w:rsidTr="00964227">
        <w:trPr>
          <w:tblCellSpacing w:w="15" w:type="dxa"/>
        </w:trPr>
        <w:tc>
          <w:tcPr>
            <w:tcW w:w="749" w:type="dxa"/>
            <w:vAlign w:val="center"/>
          </w:tcPr>
          <w:p w14:paraId="23F1221E" w14:textId="77777777" w:rsidR="002A41AC" w:rsidRPr="0066750A" w:rsidRDefault="002A41AC" w:rsidP="00964227">
            <w:pPr>
              <w:rPr>
                <w:rFonts w:cstheme="minorHAnsi"/>
              </w:rPr>
            </w:pPr>
            <w:r w:rsidRPr="0066750A">
              <w:rPr>
                <w:rFonts w:cstheme="minorHAnsi"/>
              </w:rPr>
              <w:t>Domain</w:t>
            </w:r>
          </w:p>
        </w:tc>
        <w:tc>
          <w:tcPr>
            <w:tcW w:w="1581" w:type="dxa"/>
            <w:vAlign w:val="center"/>
            <w:hideMark/>
          </w:tcPr>
          <w:p w14:paraId="74B69CA1" w14:textId="77777777" w:rsidR="002A41AC" w:rsidRPr="0066750A" w:rsidRDefault="002A41AC" w:rsidP="00964227">
            <w:pPr>
              <w:ind w:left="109"/>
              <w:rPr>
                <w:rFonts w:cstheme="minorHAnsi"/>
              </w:rPr>
            </w:pPr>
            <w:r w:rsidRPr="0066750A">
              <w:rPr>
                <w:rFonts w:cstheme="minorHAnsi"/>
              </w:rPr>
              <w:t>Metering Point</w:t>
            </w:r>
          </w:p>
        </w:tc>
        <w:tc>
          <w:tcPr>
            <w:tcW w:w="3656" w:type="dxa"/>
            <w:vAlign w:val="center"/>
            <w:hideMark/>
          </w:tcPr>
          <w:p w14:paraId="1CA3D47C" w14:textId="77777777" w:rsidR="002A41AC" w:rsidRPr="0066750A" w:rsidRDefault="002A41AC" w:rsidP="00964227">
            <w:pPr>
              <w:ind w:left="108" w:right="142"/>
              <w:rPr>
                <w:rFonts w:cstheme="minorHAnsi"/>
              </w:rPr>
            </w:pPr>
            <w:r w:rsidRPr="0066750A">
              <w:rPr>
                <w:rFonts w:cstheme="minorHAnsi"/>
              </w:rPr>
              <w:t xml:space="preserve">An entity where energy products are measured or computed. </w:t>
            </w:r>
          </w:p>
        </w:tc>
        <w:tc>
          <w:tcPr>
            <w:tcW w:w="4065" w:type="dxa"/>
          </w:tcPr>
          <w:p w14:paraId="541B6699" w14:textId="77777777" w:rsidR="002A41AC" w:rsidRPr="0066750A" w:rsidRDefault="002A41AC" w:rsidP="00964227">
            <w:pPr>
              <w:rPr>
                <w:rFonts w:cstheme="minorHAnsi"/>
                <w:b/>
                <w:bCs/>
              </w:rPr>
            </w:pPr>
            <w:r w:rsidRPr="0066750A">
              <w:rPr>
                <w:rFonts w:cstheme="minorHAnsi"/>
                <w:b/>
                <w:bCs/>
              </w:rPr>
              <w:t>20230116:</w:t>
            </w:r>
          </w:p>
          <w:p w14:paraId="3A3BD559" w14:textId="77777777" w:rsidR="002A41AC" w:rsidRPr="00E43C8A" w:rsidRDefault="002A41AC" w:rsidP="002A41AC">
            <w:pPr>
              <w:pStyle w:val="ListParagraph"/>
              <w:numPr>
                <w:ilvl w:val="0"/>
                <w:numId w:val="27"/>
              </w:numPr>
              <w:autoSpaceDE/>
              <w:autoSpaceDN/>
              <w:ind w:left="387" w:hanging="218"/>
              <w:rPr>
                <w:rStyle w:val="cf01"/>
                <w:rFonts w:asciiTheme="minorHAnsi" w:hAnsiTheme="minorHAnsi" w:cstheme="minorHAnsi"/>
                <w:sz w:val="22"/>
                <w:szCs w:val="22"/>
              </w:rPr>
            </w:pPr>
            <w:r w:rsidRPr="00E43C8A">
              <w:rPr>
                <w:rStyle w:val="cf01"/>
                <w:rFonts w:asciiTheme="minorHAnsi" w:hAnsiTheme="minorHAnsi" w:cstheme="minorHAnsi"/>
                <w:sz w:val="22"/>
                <w:szCs w:val="22"/>
              </w:rPr>
              <w:t>Rephrase to:</w:t>
            </w:r>
          </w:p>
          <w:p w14:paraId="2474820A" w14:textId="77777777" w:rsidR="002A41AC" w:rsidRPr="0066750A" w:rsidRDefault="002A41AC" w:rsidP="00964227">
            <w:pPr>
              <w:pStyle w:val="ListParagraph"/>
              <w:numPr>
                <w:ilvl w:val="0"/>
                <w:numId w:val="0"/>
              </w:numPr>
              <w:ind w:left="387"/>
              <w:rPr>
                <w:rFonts w:asciiTheme="minorHAnsi" w:hAnsiTheme="minorHAnsi"/>
                <w:i/>
                <w:iCs/>
              </w:rPr>
            </w:pPr>
            <w:r w:rsidRPr="0066750A">
              <w:rPr>
                <w:rFonts w:asciiTheme="minorHAnsi" w:hAnsiTheme="minorHAnsi"/>
                <w:i/>
                <w:iCs/>
              </w:rPr>
              <w:t>A (virtual) point associated to a Grid Connection in a Metering Grid Area, where the volume(s) of energy fed in to or taken out of the grid are measured or computed.</w:t>
            </w:r>
          </w:p>
        </w:tc>
      </w:tr>
      <w:tr w:rsidR="002A41AC" w:rsidRPr="0066750A" w14:paraId="37EE37A0" w14:textId="77777777" w:rsidTr="00964227">
        <w:trPr>
          <w:tblCellSpacing w:w="15" w:type="dxa"/>
        </w:trPr>
        <w:tc>
          <w:tcPr>
            <w:tcW w:w="749" w:type="dxa"/>
            <w:vAlign w:val="center"/>
          </w:tcPr>
          <w:p w14:paraId="2CCC7682" w14:textId="77777777" w:rsidR="002A41AC" w:rsidRPr="0066750A" w:rsidRDefault="002A41AC" w:rsidP="00964227">
            <w:pPr>
              <w:rPr>
                <w:rFonts w:cstheme="minorHAnsi"/>
              </w:rPr>
            </w:pPr>
            <w:r w:rsidRPr="0066750A">
              <w:rPr>
                <w:rFonts w:cstheme="minorHAnsi"/>
              </w:rPr>
              <w:t>Domain</w:t>
            </w:r>
          </w:p>
        </w:tc>
        <w:tc>
          <w:tcPr>
            <w:tcW w:w="1581" w:type="dxa"/>
            <w:vAlign w:val="center"/>
            <w:hideMark/>
          </w:tcPr>
          <w:p w14:paraId="3AEB2880" w14:textId="77777777" w:rsidR="002A41AC" w:rsidRPr="0066750A" w:rsidRDefault="002A41AC" w:rsidP="00964227">
            <w:pPr>
              <w:ind w:left="109"/>
              <w:rPr>
                <w:rFonts w:cstheme="minorHAnsi"/>
              </w:rPr>
            </w:pPr>
            <w:r w:rsidRPr="0066750A">
              <w:rPr>
                <w:rFonts w:cstheme="minorHAnsi"/>
              </w:rPr>
              <w:t>RGCE Interconnected Group</w:t>
            </w:r>
          </w:p>
        </w:tc>
        <w:tc>
          <w:tcPr>
            <w:tcW w:w="3656" w:type="dxa"/>
            <w:vAlign w:val="center"/>
            <w:hideMark/>
          </w:tcPr>
          <w:p w14:paraId="6A7D9715" w14:textId="77777777" w:rsidR="002A41AC" w:rsidRPr="0066750A" w:rsidRDefault="002A41AC" w:rsidP="00964227">
            <w:pPr>
              <w:ind w:left="108" w:right="142"/>
              <w:rPr>
                <w:rFonts w:cstheme="minorHAnsi"/>
              </w:rPr>
            </w:pPr>
            <w:r w:rsidRPr="0066750A">
              <w:rPr>
                <w:rFonts w:cstheme="minorHAnsi"/>
              </w:rPr>
              <w:t xml:space="preserve">The composition of </w:t>
            </w:r>
            <w:proofErr w:type="gramStart"/>
            <w:r w:rsidRPr="0066750A">
              <w:rPr>
                <w:rFonts w:cstheme="minorHAnsi"/>
              </w:rPr>
              <w:t>a number of</w:t>
            </w:r>
            <w:proofErr w:type="gramEnd"/>
            <w:r w:rsidRPr="0066750A">
              <w:rPr>
                <w:rFonts w:cstheme="minorHAnsi"/>
              </w:rPr>
              <w:t xml:space="preserve"> Coordination Centre Zones, operating under RGCE (Regional Group Continental Europe) rules, where the exchange and compensation programmes within the zone must sum up to zero.</w:t>
            </w:r>
          </w:p>
        </w:tc>
        <w:tc>
          <w:tcPr>
            <w:tcW w:w="4065" w:type="dxa"/>
          </w:tcPr>
          <w:p w14:paraId="6F19DFA3" w14:textId="77777777" w:rsidR="002A41AC" w:rsidRPr="0066750A" w:rsidRDefault="002A41AC" w:rsidP="00964227">
            <w:pPr>
              <w:rPr>
                <w:rFonts w:cstheme="minorHAnsi"/>
              </w:rPr>
            </w:pPr>
            <w:r w:rsidRPr="0066750A">
              <w:rPr>
                <w:rFonts w:cstheme="minorHAnsi"/>
                <w:b/>
                <w:bCs/>
              </w:rPr>
              <w:t>20230130:</w:t>
            </w:r>
          </w:p>
          <w:p w14:paraId="4EA55657" w14:textId="77777777" w:rsidR="002A41AC" w:rsidRPr="0066750A" w:rsidRDefault="002A41AC" w:rsidP="002A41AC">
            <w:pPr>
              <w:pStyle w:val="ListParagraph"/>
              <w:numPr>
                <w:ilvl w:val="0"/>
                <w:numId w:val="27"/>
              </w:numPr>
              <w:autoSpaceDE/>
              <w:autoSpaceDN/>
              <w:rPr>
                <w:rFonts w:asciiTheme="minorHAnsi" w:hAnsiTheme="minorHAnsi"/>
              </w:rPr>
            </w:pPr>
            <w:r w:rsidRPr="0066750A">
              <w:rPr>
                <w:rFonts w:asciiTheme="minorHAnsi" w:hAnsiTheme="minorHAnsi"/>
              </w:rPr>
              <w:t>Outside of ebIX® scope.</w:t>
            </w:r>
          </w:p>
        </w:tc>
      </w:tr>
      <w:tr w:rsidR="002A41AC" w:rsidRPr="0066750A" w14:paraId="0AC3128A" w14:textId="77777777" w:rsidTr="00964227">
        <w:trPr>
          <w:tblCellSpacing w:w="15" w:type="dxa"/>
        </w:trPr>
        <w:tc>
          <w:tcPr>
            <w:tcW w:w="749" w:type="dxa"/>
            <w:vAlign w:val="center"/>
          </w:tcPr>
          <w:p w14:paraId="48D8BDCE" w14:textId="77777777" w:rsidR="002A41AC" w:rsidRPr="0066750A" w:rsidRDefault="002A41AC" w:rsidP="00964227">
            <w:pPr>
              <w:jc w:val="center"/>
              <w:rPr>
                <w:rFonts w:cstheme="minorHAnsi"/>
              </w:rPr>
            </w:pPr>
            <w:r w:rsidRPr="0066750A">
              <w:rPr>
                <w:rFonts w:cstheme="minorHAnsi"/>
              </w:rPr>
              <w:t>Domain</w:t>
            </w:r>
          </w:p>
        </w:tc>
        <w:tc>
          <w:tcPr>
            <w:tcW w:w="1581" w:type="dxa"/>
            <w:vAlign w:val="center"/>
          </w:tcPr>
          <w:p w14:paraId="3DF66905" w14:textId="77777777" w:rsidR="002A41AC" w:rsidRPr="0066750A" w:rsidRDefault="002A41AC" w:rsidP="00964227">
            <w:pPr>
              <w:ind w:left="109"/>
              <w:rPr>
                <w:rFonts w:cstheme="minorHAnsi"/>
              </w:rPr>
            </w:pPr>
            <w:r w:rsidRPr="0066750A">
              <w:rPr>
                <w:rFonts w:cstheme="minorHAnsi"/>
              </w:rPr>
              <w:t>Scheduling Area</w:t>
            </w:r>
          </w:p>
        </w:tc>
        <w:tc>
          <w:tcPr>
            <w:tcW w:w="3656" w:type="dxa"/>
            <w:vAlign w:val="center"/>
          </w:tcPr>
          <w:p w14:paraId="3127AED9" w14:textId="77777777" w:rsidR="002A41AC" w:rsidRPr="0066750A" w:rsidRDefault="002A41AC" w:rsidP="00964227">
            <w:pPr>
              <w:ind w:left="109"/>
              <w:rPr>
                <w:rFonts w:cstheme="minorHAnsi"/>
              </w:rPr>
            </w:pPr>
            <w:r w:rsidRPr="0066750A">
              <w:rPr>
                <w:rFonts w:cstheme="minorHAnsi"/>
              </w:rPr>
              <w:t>An area within which the TSOs' obligations regarding scheduling apply due to operational or organisational needs.</w:t>
            </w:r>
          </w:p>
          <w:p w14:paraId="5A6B7FFD" w14:textId="77777777" w:rsidR="002A41AC" w:rsidRPr="0066750A" w:rsidRDefault="002A41AC" w:rsidP="00964227">
            <w:pPr>
              <w:spacing w:after="240"/>
              <w:ind w:left="108"/>
              <w:rPr>
                <w:rFonts w:cstheme="minorHAnsi"/>
              </w:rPr>
            </w:pPr>
            <w:r w:rsidRPr="0066750A">
              <w:rPr>
                <w:rFonts w:cstheme="minorHAnsi"/>
              </w:rPr>
              <w:t>This area consists of one or more Metering Grid Areas with common market rules for which the settlement responsible party carries out an imbalance settlement and which has the same price for imbalance.</w:t>
            </w:r>
          </w:p>
          <w:p w14:paraId="6919FFD9"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b/>
                <w:bCs/>
                <w:sz w:val="22"/>
                <w:szCs w:val="22"/>
              </w:rPr>
              <w:lastRenderedPageBreak/>
              <w:t>Source:</w:t>
            </w:r>
            <w:r w:rsidRPr="0066750A">
              <w:rPr>
                <w:rFonts w:cstheme="minorHAnsi"/>
                <w:sz w:val="22"/>
                <w:szCs w:val="22"/>
              </w:rPr>
              <w:t xml:space="preserve"> </w:t>
            </w:r>
            <w:hyperlink r:id="rId33" w:anchor="d1e234-1-1" w:history="1">
              <w:r w:rsidRPr="0066750A">
                <w:rPr>
                  <w:rStyle w:val="Hyperlink"/>
                  <w:rFonts w:cstheme="minorHAnsi"/>
                  <w:sz w:val="22"/>
                  <w:szCs w:val="22"/>
                </w:rPr>
                <w:t>System Operation Guideline, Commission Regulation (EU) 2017/1485.</w:t>
              </w:r>
            </w:hyperlink>
          </w:p>
          <w:p w14:paraId="25791A1A" w14:textId="77777777" w:rsidR="002A41AC" w:rsidRPr="0066750A" w:rsidRDefault="002A41AC" w:rsidP="00964227">
            <w:pPr>
              <w:ind w:left="109"/>
              <w:rPr>
                <w:rFonts w:cstheme="minorHAnsi"/>
                <w:b/>
              </w:rPr>
            </w:pPr>
            <w:r w:rsidRPr="0066750A">
              <w:rPr>
                <w:rFonts w:cstheme="minorHAnsi"/>
                <w:b/>
              </w:rPr>
              <w:t>Additional information:</w:t>
            </w:r>
          </w:p>
          <w:p w14:paraId="31EB0AFF" w14:textId="77777777" w:rsidR="002A41AC" w:rsidRPr="0066750A" w:rsidRDefault="002A41AC" w:rsidP="00964227">
            <w:pPr>
              <w:ind w:left="108" w:right="142"/>
              <w:rPr>
                <w:rFonts w:cstheme="minorHAnsi"/>
              </w:rPr>
            </w:pPr>
            <w:r w:rsidRPr="0066750A">
              <w:rPr>
                <w:rFonts w:cstheme="minorHAnsi"/>
              </w:rPr>
              <w:t xml:space="preserve">This covers both Imbalance Area and Imbalance Price Area from the </w:t>
            </w:r>
            <w:hyperlink r:id="rId34" w:anchor="d1e259-6-1" w:history="1">
              <w:r w:rsidRPr="0066750A">
                <w:rPr>
                  <w:rStyle w:val="Hyperlink"/>
                  <w:rFonts w:cstheme="minorHAnsi"/>
                </w:rPr>
                <w:t>Electricity Balancing Guideline (2017/2195).</w:t>
              </w:r>
            </w:hyperlink>
          </w:p>
        </w:tc>
        <w:tc>
          <w:tcPr>
            <w:tcW w:w="4065" w:type="dxa"/>
            <w:vAlign w:val="center"/>
          </w:tcPr>
          <w:p w14:paraId="2111B147" w14:textId="77777777" w:rsidR="002A41AC" w:rsidRPr="0066750A" w:rsidRDefault="002A41AC" w:rsidP="00964227">
            <w:pPr>
              <w:ind w:left="109"/>
              <w:rPr>
                <w:rFonts w:cstheme="minorHAnsi"/>
                <w:b/>
                <w:bCs/>
              </w:rPr>
            </w:pPr>
            <w:r w:rsidRPr="0066750A">
              <w:rPr>
                <w:rFonts w:cstheme="minorHAnsi"/>
                <w:b/>
                <w:bCs/>
              </w:rPr>
              <w:lastRenderedPageBreak/>
              <w:t>20230123:</w:t>
            </w:r>
          </w:p>
          <w:p w14:paraId="3ECAC610" w14:textId="77777777" w:rsidR="002A41AC" w:rsidRPr="0066750A" w:rsidRDefault="002A41AC" w:rsidP="002A41AC">
            <w:pPr>
              <w:pStyle w:val="ListParagraph"/>
              <w:numPr>
                <w:ilvl w:val="0"/>
                <w:numId w:val="27"/>
              </w:numPr>
              <w:autoSpaceDE/>
              <w:autoSpaceDN/>
              <w:ind w:left="487" w:hanging="219"/>
              <w:rPr>
                <w:rFonts w:asciiTheme="minorHAnsi" w:hAnsiTheme="minorHAnsi"/>
              </w:rPr>
            </w:pPr>
            <w:r w:rsidRPr="0066750A">
              <w:rPr>
                <w:rFonts w:asciiTheme="minorHAnsi" w:hAnsiTheme="minorHAnsi"/>
              </w:rPr>
              <w:t>Rephrase to:</w:t>
            </w:r>
          </w:p>
          <w:p w14:paraId="041D226B" w14:textId="77777777" w:rsidR="002A41AC" w:rsidRPr="0066750A" w:rsidRDefault="002A41AC" w:rsidP="00964227">
            <w:pPr>
              <w:spacing w:after="240"/>
              <w:ind w:left="720"/>
              <w:rPr>
                <w:rFonts w:cstheme="minorHAnsi"/>
              </w:rPr>
            </w:pPr>
            <w:r w:rsidRPr="0066750A">
              <w:rPr>
                <w:rFonts w:cstheme="minorHAnsi"/>
              </w:rPr>
              <w:t>An area consisting of one or more Metering Grid Areas with common market rules for which the Imbalance Settlement Responsible party carries out imbalance settlement and which has the same price for imbalance.</w:t>
            </w:r>
          </w:p>
          <w:p w14:paraId="6CBE04BC" w14:textId="77777777" w:rsidR="002A41AC" w:rsidRPr="0066750A" w:rsidRDefault="002A41AC" w:rsidP="00964227">
            <w:pPr>
              <w:pStyle w:val="NormalWeb"/>
              <w:spacing w:before="60" w:beforeAutospacing="0" w:after="240" w:afterAutospacing="0"/>
              <w:ind w:left="720"/>
              <w:rPr>
                <w:rFonts w:cstheme="minorHAnsi"/>
                <w:sz w:val="22"/>
                <w:szCs w:val="22"/>
              </w:rPr>
            </w:pPr>
            <w:r w:rsidRPr="0066750A">
              <w:rPr>
                <w:rFonts w:cstheme="minorHAnsi"/>
                <w:b/>
                <w:bCs/>
                <w:sz w:val="22"/>
                <w:szCs w:val="22"/>
              </w:rPr>
              <w:lastRenderedPageBreak/>
              <w:t>Source:</w:t>
            </w:r>
            <w:r w:rsidRPr="0066750A">
              <w:rPr>
                <w:rFonts w:cstheme="minorHAnsi"/>
                <w:sz w:val="22"/>
                <w:szCs w:val="22"/>
              </w:rPr>
              <w:t xml:space="preserve"> </w:t>
            </w:r>
            <w:hyperlink r:id="rId35" w:anchor="d1e234-1-1" w:history="1">
              <w:r w:rsidRPr="0066750A">
                <w:rPr>
                  <w:rStyle w:val="Hyperlink"/>
                  <w:rFonts w:cstheme="minorHAnsi"/>
                  <w:sz w:val="22"/>
                  <w:szCs w:val="22"/>
                </w:rPr>
                <w:t>System Operation Guideline, Commission Regulation (EU) 2017/1485.</w:t>
              </w:r>
            </w:hyperlink>
          </w:p>
          <w:p w14:paraId="50C8A465" w14:textId="77777777" w:rsidR="002A41AC" w:rsidRPr="0066750A" w:rsidRDefault="002A41AC" w:rsidP="00964227">
            <w:pPr>
              <w:ind w:left="720"/>
              <w:rPr>
                <w:rFonts w:cstheme="minorHAnsi"/>
                <w:b/>
              </w:rPr>
            </w:pPr>
            <w:r w:rsidRPr="0066750A">
              <w:rPr>
                <w:rFonts w:cstheme="minorHAnsi"/>
                <w:b/>
              </w:rPr>
              <w:t>Additional information:</w:t>
            </w:r>
          </w:p>
          <w:p w14:paraId="3C579986" w14:textId="77777777" w:rsidR="002A41AC" w:rsidRPr="0066750A" w:rsidRDefault="002A41AC" w:rsidP="00964227">
            <w:pPr>
              <w:spacing w:after="240"/>
              <w:ind w:left="720"/>
              <w:rPr>
                <w:rFonts w:cstheme="minorHAnsi"/>
              </w:rPr>
            </w:pPr>
            <w:r w:rsidRPr="0066750A">
              <w:rPr>
                <w:rFonts w:cstheme="minorHAnsi"/>
              </w:rPr>
              <w:t>An area within which the TSOs' obligations regarding scheduling apply due to operational or organisational needs.</w:t>
            </w:r>
          </w:p>
          <w:p w14:paraId="07A97390" w14:textId="77777777" w:rsidR="002A41AC" w:rsidRPr="0066750A" w:rsidRDefault="002A41AC" w:rsidP="00964227">
            <w:pPr>
              <w:spacing w:after="240"/>
              <w:ind w:left="720"/>
              <w:rPr>
                <w:rFonts w:cstheme="minorHAnsi"/>
              </w:rPr>
            </w:pPr>
            <w:r w:rsidRPr="0066750A">
              <w:rPr>
                <w:rFonts w:cstheme="minorHAnsi"/>
              </w:rPr>
              <w:t xml:space="preserve">This covers both imbalance area and imbalance price area from the </w:t>
            </w:r>
            <w:hyperlink r:id="rId36" w:anchor="d1e259-6-1" w:history="1">
              <w:r w:rsidRPr="0066750A">
                <w:rPr>
                  <w:rStyle w:val="Hyperlink"/>
                  <w:rFonts w:cstheme="minorHAnsi"/>
                </w:rPr>
                <w:t>Electricity Balancing Guideline (2017/2195).</w:t>
              </w:r>
            </w:hyperlink>
          </w:p>
        </w:tc>
      </w:tr>
      <w:tr w:rsidR="002A41AC" w:rsidRPr="0066750A" w14:paraId="0EB528FF" w14:textId="77777777" w:rsidTr="00964227">
        <w:trPr>
          <w:tblCellSpacing w:w="15" w:type="dxa"/>
        </w:trPr>
        <w:tc>
          <w:tcPr>
            <w:tcW w:w="749" w:type="dxa"/>
            <w:vAlign w:val="center"/>
          </w:tcPr>
          <w:p w14:paraId="78AAE696" w14:textId="77777777" w:rsidR="002A41AC" w:rsidRPr="0066750A" w:rsidRDefault="002A41AC" w:rsidP="00964227">
            <w:pPr>
              <w:rPr>
                <w:rFonts w:cstheme="minorHAnsi"/>
              </w:rPr>
            </w:pPr>
            <w:r w:rsidRPr="0066750A">
              <w:rPr>
                <w:rFonts w:cstheme="minorHAnsi"/>
              </w:rPr>
              <w:lastRenderedPageBreak/>
              <w:t>Domain</w:t>
            </w:r>
          </w:p>
        </w:tc>
        <w:tc>
          <w:tcPr>
            <w:tcW w:w="1581" w:type="dxa"/>
            <w:vAlign w:val="center"/>
          </w:tcPr>
          <w:p w14:paraId="4F5CFA02" w14:textId="77777777" w:rsidR="002A41AC" w:rsidRPr="0066750A" w:rsidRDefault="002A41AC" w:rsidP="00964227">
            <w:pPr>
              <w:ind w:left="109"/>
              <w:rPr>
                <w:rFonts w:cstheme="minorHAnsi"/>
              </w:rPr>
            </w:pPr>
            <w:r w:rsidRPr="0066750A">
              <w:rPr>
                <w:rFonts w:cstheme="minorHAnsi"/>
              </w:rPr>
              <w:t>Synchronous Area</w:t>
            </w:r>
          </w:p>
        </w:tc>
        <w:tc>
          <w:tcPr>
            <w:tcW w:w="3656" w:type="dxa"/>
            <w:vAlign w:val="center"/>
          </w:tcPr>
          <w:p w14:paraId="3CEFFFC2"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An area covered by synchronously interconnected LFC blocks.</w:t>
            </w:r>
          </w:p>
          <w:p w14:paraId="5E3397EE" w14:textId="77777777" w:rsidR="002A41AC" w:rsidRPr="0066750A" w:rsidRDefault="002A41AC" w:rsidP="00964227">
            <w:pPr>
              <w:ind w:left="109"/>
              <w:rPr>
                <w:rFonts w:cstheme="minorHAnsi"/>
                <w:b/>
                <w:bCs/>
              </w:rPr>
            </w:pPr>
            <w:r w:rsidRPr="0066750A">
              <w:rPr>
                <w:rFonts w:cstheme="minorHAnsi"/>
                <w:b/>
                <w:bCs/>
              </w:rPr>
              <w:t>Note:</w:t>
            </w:r>
          </w:p>
          <w:p w14:paraId="7C587939" w14:textId="77777777" w:rsidR="002A41AC" w:rsidRPr="0066750A" w:rsidRDefault="002A41AC" w:rsidP="00964227">
            <w:pPr>
              <w:spacing w:after="240"/>
              <w:ind w:left="108"/>
              <w:rPr>
                <w:rFonts w:cstheme="minorHAnsi"/>
              </w:rPr>
            </w:pPr>
            <w:r w:rsidRPr="0066750A">
              <w:rPr>
                <w:rFonts w:cstheme="minorHAnsi"/>
              </w:rPr>
              <w:t>Examples of Synchronous Areas are Continental Europe, Great Britain, Ireland-Northern Ireland, Nordic and the power systems of Lithuania, Latvia and Estonia, together referred to as ‘Baltic’ which are part of a wider synchronous area (IPS/UPS).</w:t>
            </w:r>
          </w:p>
          <w:p w14:paraId="692F71E5" w14:textId="77777777" w:rsidR="002A41AC" w:rsidRPr="0066750A" w:rsidRDefault="002A41AC" w:rsidP="00964227">
            <w:pPr>
              <w:ind w:left="109"/>
              <w:rPr>
                <w:rFonts w:cstheme="minorHAnsi"/>
                <w:b/>
                <w:bCs/>
              </w:rPr>
            </w:pPr>
            <w:r w:rsidRPr="0066750A">
              <w:rPr>
                <w:rFonts w:cstheme="minorHAnsi"/>
                <w:b/>
                <w:bCs/>
              </w:rPr>
              <w:t>Source:</w:t>
            </w:r>
          </w:p>
          <w:p w14:paraId="5C315780" w14:textId="77777777" w:rsidR="002A41AC" w:rsidRPr="0066750A" w:rsidRDefault="00000000" w:rsidP="00964227">
            <w:pPr>
              <w:ind w:left="108" w:right="142"/>
              <w:rPr>
                <w:rFonts w:cstheme="minorHAnsi"/>
              </w:rPr>
            </w:pPr>
            <w:hyperlink r:id="rId37" w:anchor="d1e320-1-1" w:history="1">
              <w:r w:rsidR="002A41AC" w:rsidRPr="0066750A">
                <w:rPr>
                  <w:rStyle w:val="Hyperlink"/>
                  <w:rFonts w:cstheme="minorHAnsi"/>
                </w:rPr>
                <w:t>Requirements for Generators. Art. 2 - Definitions</w:t>
              </w:r>
            </w:hyperlink>
          </w:p>
        </w:tc>
        <w:tc>
          <w:tcPr>
            <w:tcW w:w="4065" w:type="dxa"/>
          </w:tcPr>
          <w:p w14:paraId="3F41D8A0" w14:textId="49963DCC" w:rsidR="00F63216" w:rsidRPr="00F63216" w:rsidRDefault="00F63216" w:rsidP="00F63216">
            <w:pPr>
              <w:autoSpaceDE/>
              <w:autoSpaceDN/>
              <w:rPr>
                <w:b/>
                <w:bCs/>
              </w:rPr>
            </w:pPr>
            <w:r>
              <w:rPr>
                <w:b/>
                <w:bCs/>
              </w:rPr>
              <w:t>20230612:</w:t>
            </w:r>
          </w:p>
          <w:p w14:paraId="33529994" w14:textId="35C11ED7" w:rsidR="00F63216" w:rsidRDefault="00F63216" w:rsidP="002A41AC">
            <w:pPr>
              <w:pStyle w:val="ListParagraph"/>
              <w:numPr>
                <w:ilvl w:val="0"/>
                <w:numId w:val="17"/>
              </w:numPr>
              <w:autoSpaceDE/>
              <w:autoSpaceDN/>
              <w:ind w:left="380" w:hanging="218"/>
              <w:rPr>
                <w:rFonts w:asciiTheme="minorHAnsi" w:hAnsiTheme="minorHAnsi"/>
              </w:rPr>
            </w:pPr>
            <w:r>
              <w:rPr>
                <w:rFonts w:asciiTheme="minorHAnsi" w:hAnsiTheme="minorHAnsi"/>
              </w:rPr>
              <w:t>Proposal for rephrasing:</w:t>
            </w:r>
          </w:p>
          <w:p w14:paraId="70552D3B" w14:textId="141A4722" w:rsidR="00F63216" w:rsidRPr="00F63216" w:rsidRDefault="00F63216" w:rsidP="00F63216">
            <w:pPr>
              <w:pStyle w:val="ListParagraph"/>
              <w:numPr>
                <w:ilvl w:val="0"/>
                <w:numId w:val="0"/>
              </w:numPr>
              <w:autoSpaceDE/>
              <w:autoSpaceDN/>
              <w:ind w:left="380"/>
              <w:rPr>
                <w:rFonts w:asciiTheme="minorHAnsi" w:hAnsiTheme="minorHAnsi"/>
                <w:i/>
                <w:iCs/>
              </w:rPr>
            </w:pPr>
            <w:r>
              <w:rPr>
                <w:rFonts w:asciiTheme="minorHAnsi" w:hAnsiTheme="minorHAnsi"/>
                <w:i/>
                <w:iCs/>
              </w:rPr>
              <w:t>An Area consisting of synchronised, interconnected LFC blocks.</w:t>
            </w:r>
          </w:p>
        </w:tc>
      </w:tr>
    </w:tbl>
    <w:p w14:paraId="56F27C27" w14:textId="77777777" w:rsidR="002A41AC" w:rsidRPr="0066750A" w:rsidRDefault="002A41AC" w:rsidP="002A41AC">
      <w:pPr>
        <w:autoSpaceDE/>
        <w:autoSpaceDN/>
        <w:spacing w:after="0"/>
        <w:rPr>
          <w:rFonts w:cstheme="minorHAnsi"/>
        </w:rPr>
      </w:pPr>
    </w:p>
    <w:p w14:paraId="2F91C2E1" w14:textId="77777777" w:rsidR="002A41AC" w:rsidRPr="0066750A" w:rsidRDefault="002A41AC" w:rsidP="002A41AC">
      <w:pPr>
        <w:autoSpaceDE/>
        <w:autoSpaceDN/>
        <w:spacing w:after="0"/>
        <w:rPr>
          <w:rFonts w:cstheme="minorHAnsi"/>
        </w:rPr>
      </w:pPr>
    </w:p>
    <w:p w14:paraId="05EDFBFF" w14:textId="77777777" w:rsidR="002A41AC" w:rsidRPr="0066750A" w:rsidRDefault="002A41AC" w:rsidP="002A41AC">
      <w:pPr>
        <w:pStyle w:val="Appendix20"/>
        <w:numPr>
          <w:ilvl w:val="1"/>
          <w:numId w:val="7"/>
        </w:numPr>
        <w:ind w:left="567"/>
        <w:rPr>
          <w:rFonts w:cstheme="minorHAnsi"/>
        </w:rPr>
      </w:pPr>
      <w:r w:rsidRPr="0066750A">
        <w:rPr>
          <w:rFonts w:cstheme="minorHAnsi"/>
        </w:rPr>
        <w:t>Resources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0"/>
        <w:gridCol w:w="1765"/>
        <w:gridCol w:w="3276"/>
        <w:gridCol w:w="3899"/>
      </w:tblGrid>
      <w:tr w:rsidR="002A41AC" w:rsidRPr="0066750A" w14:paraId="2A7DDED2" w14:textId="77777777" w:rsidTr="00964227">
        <w:trPr>
          <w:cantSplit/>
          <w:tblHeader/>
          <w:tblCellSpacing w:w="15" w:type="dxa"/>
        </w:trPr>
        <w:tc>
          <w:tcPr>
            <w:tcW w:w="10018" w:type="dxa"/>
            <w:gridSpan w:val="4"/>
            <w:vAlign w:val="center"/>
          </w:tcPr>
          <w:p w14:paraId="15E91957" w14:textId="77777777" w:rsidR="002A41AC" w:rsidRPr="0066750A" w:rsidRDefault="002A41AC" w:rsidP="00964227">
            <w:pPr>
              <w:jc w:val="center"/>
              <w:rPr>
                <w:rFonts w:cstheme="minorHAnsi"/>
                <w:b/>
              </w:rPr>
            </w:pPr>
            <w:r w:rsidRPr="0066750A">
              <w:rPr>
                <w:rFonts w:cstheme="minorHAnsi"/>
                <w:b/>
              </w:rPr>
              <w:lastRenderedPageBreak/>
              <w:t>RESOURCES</w:t>
            </w:r>
          </w:p>
        </w:tc>
      </w:tr>
      <w:tr w:rsidR="002A41AC" w:rsidRPr="0066750A" w14:paraId="4D530C48" w14:textId="77777777" w:rsidTr="00964227">
        <w:trPr>
          <w:cantSplit/>
          <w:tblHeader/>
          <w:tblCellSpacing w:w="15" w:type="dxa"/>
        </w:trPr>
        <w:tc>
          <w:tcPr>
            <w:tcW w:w="906" w:type="dxa"/>
            <w:vAlign w:val="center"/>
          </w:tcPr>
          <w:p w14:paraId="39D9EB51" w14:textId="77777777" w:rsidR="002A41AC" w:rsidRPr="0066750A" w:rsidRDefault="002A41AC" w:rsidP="00964227">
            <w:pPr>
              <w:jc w:val="center"/>
              <w:rPr>
                <w:rFonts w:cstheme="minorHAnsi"/>
                <w:b/>
              </w:rPr>
            </w:pPr>
            <w:r w:rsidRPr="0066750A">
              <w:rPr>
                <w:rFonts w:cstheme="minorHAnsi"/>
                <w:b/>
              </w:rPr>
              <w:t>TYPE</w:t>
            </w:r>
          </w:p>
        </w:tc>
        <w:tc>
          <w:tcPr>
            <w:tcW w:w="1760" w:type="dxa"/>
            <w:vAlign w:val="center"/>
            <w:hideMark/>
          </w:tcPr>
          <w:p w14:paraId="782551C6" w14:textId="77777777" w:rsidR="002A41AC" w:rsidRPr="0066750A" w:rsidRDefault="002A41AC" w:rsidP="00964227">
            <w:pPr>
              <w:ind w:left="109"/>
              <w:jc w:val="center"/>
              <w:rPr>
                <w:rFonts w:cstheme="minorHAnsi"/>
                <w:b/>
              </w:rPr>
            </w:pPr>
            <w:r w:rsidRPr="0066750A">
              <w:rPr>
                <w:rFonts w:cstheme="minorHAnsi"/>
                <w:b/>
              </w:rPr>
              <w:t>RESOURCE NAME</w:t>
            </w:r>
          </w:p>
        </w:tc>
        <w:tc>
          <w:tcPr>
            <w:tcW w:w="3320" w:type="dxa"/>
            <w:vAlign w:val="center"/>
            <w:hideMark/>
          </w:tcPr>
          <w:p w14:paraId="4ABF007B" w14:textId="77777777" w:rsidR="002A41AC" w:rsidRPr="0066750A" w:rsidRDefault="002A41AC" w:rsidP="00964227">
            <w:pPr>
              <w:ind w:left="102"/>
              <w:jc w:val="center"/>
              <w:rPr>
                <w:rFonts w:cstheme="minorHAnsi"/>
                <w:b/>
              </w:rPr>
            </w:pPr>
            <w:r w:rsidRPr="0066750A">
              <w:rPr>
                <w:rFonts w:cstheme="minorHAnsi"/>
                <w:b/>
              </w:rPr>
              <w:t>DESCRIPTION</w:t>
            </w:r>
          </w:p>
        </w:tc>
        <w:tc>
          <w:tcPr>
            <w:tcW w:w="3942" w:type="dxa"/>
            <w:vAlign w:val="center"/>
          </w:tcPr>
          <w:p w14:paraId="1C8249B9" w14:textId="77777777" w:rsidR="002A41AC" w:rsidRPr="0066750A" w:rsidRDefault="002A41AC" w:rsidP="00964227">
            <w:pPr>
              <w:ind w:left="102"/>
              <w:jc w:val="center"/>
              <w:rPr>
                <w:rFonts w:cstheme="minorHAnsi"/>
                <w:b/>
              </w:rPr>
            </w:pPr>
            <w:r w:rsidRPr="0066750A">
              <w:rPr>
                <w:rFonts w:cstheme="minorHAnsi"/>
                <w:b/>
              </w:rPr>
              <w:t>EBG COMMENTS</w:t>
            </w:r>
          </w:p>
        </w:tc>
      </w:tr>
      <w:tr w:rsidR="002A41AC" w:rsidRPr="0066750A" w14:paraId="03EBD692" w14:textId="77777777" w:rsidTr="00964227">
        <w:trPr>
          <w:cantSplit/>
          <w:tblCellSpacing w:w="15" w:type="dxa"/>
        </w:trPr>
        <w:tc>
          <w:tcPr>
            <w:tcW w:w="906" w:type="dxa"/>
            <w:vAlign w:val="center"/>
          </w:tcPr>
          <w:p w14:paraId="060B0A57" w14:textId="77777777" w:rsidR="002A41AC" w:rsidRPr="0066750A" w:rsidRDefault="002A41AC" w:rsidP="00964227">
            <w:pPr>
              <w:rPr>
                <w:rFonts w:cstheme="minorHAnsi"/>
              </w:rPr>
            </w:pPr>
            <w:r w:rsidRPr="0066750A">
              <w:rPr>
                <w:rFonts w:cstheme="minorHAnsi"/>
              </w:rPr>
              <w:t>Resource</w:t>
            </w:r>
          </w:p>
        </w:tc>
        <w:tc>
          <w:tcPr>
            <w:tcW w:w="1760" w:type="dxa"/>
            <w:vAlign w:val="center"/>
            <w:hideMark/>
          </w:tcPr>
          <w:p w14:paraId="70985975" w14:textId="77777777" w:rsidR="002A41AC" w:rsidRPr="0066750A" w:rsidRDefault="002A41AC" w:rsidP="00964227">
            <w:pPr>
              <w:ind w:left="109"/>
              <w:rPr>
                <w:rFonts w:cstheme="minorHAnsi"/>
              </w:rPr>
            </w:pPr>
            <w:r w:rsidRPr="0066750A">
              <w:rPr>
                <w:rFonts w:cstheme="minorHAnsi"/>
              </w:rPr>
              <w:t>Reserve Resource</w:t>
            </w:r>
          </w:p>
        </w:tc>
        <w:tc>
          <w:tcPr>
            <w:tcW w:w="3320" w:type="dxa"/>
            <w:vAlign w:val="center"/>
            <w:hideMark/>
          </w:tcPr>
          <w:p w14:paraId="1FACE401"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A resource technically pre-qualified using a uniform set of standards to supply reserve capabilities to a System Operator and is associated with one or more tele-measuring devices. </w:t>
            </w:r>
          </w:p>
          <w:p w14:paraId="46B3AFA3" w14:textId="77777777" w:rsidR="002A41AC" w:rsidRPr="0066750A" w:rsidRDefault="002A41AC" w:rsidP="00964227">
            <w:pPr>
              <w:spacing w:after="0"/>
              <w:ind w:left="109"/>
              <w:rPr>
                <w:rFonts w:cstheme="minorHAnsi"/>
              </w:rPr>
            </w:pPr>
            <w:r w:rsidRPr="0066750A">
              <w:rPr>
                <w:rFonts w:cstheme="minorHAnsi"/>
                <w:b/>
              </w:rPr>
              <w:t>Additional information:</w:t>
            </w:r>
            <w:r w:rsidRPr="0066750A">
              <w:rPr>
                <w:rFonts w:cstheme="minorHAnsi"/>
              </w:rPr>
              <w:t xml:space="preserve"> </w:t>
            </w:r>
          </w:p>
          <w:p w14:paraId="7665DFAC" w14:textId="77777777" w:rsidR="002A41AC" w:rsidRPr="0066750A" w:rsidRDefault="002A41AC" w:rsidP="00964227">
            <w:pPr>
              <w:ind w:left="108" w:right="142"/>
              <w:rPr>
                <w:rFonts w:cstheme="minorHAnsi"/>
              </w:rPr>
            </w:pPr>
            <w:r w:rsidRPr="0066750A">
              <w:rPr>
                <w:rFonts w:cstheme="minorHAnsi"/>
              </w:rPr>
              <w:t>This is a type of Resource.</w:t>
            </w:r>
          </w:p>
        </w:tc>
        <w:tc>
          <w:tcPr>
            <w:tcW w:w="3942" w:type="dxa"/>
          </w:tcPr>
          <w:p w14:paraId="3D42B30F" w14:textId="77777777" w:rsidR="002A41AC" w:rsidRPr="0066750A" w:rsidRDefault="002A41AC" w:rsidP="00964227">
            <w:pPr>
              <w:spacing w:after="0"/>
              <w:rPr>
                <w:rFonts w:cstheme="minorHAnsi"/>
                <w:b/>
                <w:bCs/>
                <w:i/>
                <w:iCs/>
              </w:rPr>
            </w:pPr>
            <w:r w:rsidRPr="0066750A">
              <w:rPr>
                <w:rFonts w:cstheme="minorHAnsi"/>
                <w:b/>
                <w:bCs/>
                <w:i/>
                <w:iCs/>
              </w:rPr>
              <w:t>20230130:</w:t>
            </w:r>
          </w:p>
          <w:p w14:paraId="42DC1DBE"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116DCCF4" w14:textId="77777777" w:rsidR="002A41AC" w:rsidRPr="0066750A" w:rsidRDefault="002A41AC" w:rsidP="00964227">
            <w:pPr>
              <w:pStyle w:val="NormalWeb"/>
              <w:spacing w:before="60" w:beforeAutospacing="0" w:after="120" w:afterAutospacing="0"/>
              <w:ind w:left="522"/>
              <w:rPr>
                <w:rFonts w:cstheme="minorHAnsi"/>
                <w:sz w:val="22"/>
                <w:szCs w:val="22"/>
              </w:rPr>
            </w:pPr>
            <w:r w:rsidRPr="0066750A">
              <w:rPr>
                <w:rFonts w:cstheme="minorHAnsi"/>
                <w:i/>
                <w:iCs/>
                <w:sz w:val="22"/>
                <w:szCs w:val="22"/>
              </w:rPr>
              <w:t>A Resource that participates in an energy flexibility market, supplying reserve power.</w:t>
            </w:r>
          </w:p>
          <w:p w14:paraId="3C5C78B2" w14:textId="77777777" w:rsidR="002A41AC" w:rsidRPr="0066750A" w:rsidRDefault="002A41AC" w:rsidP="00964227">
            <w:pPr>
              <w:pStyle w:val="ListParagraph"/>
              <w:numPr>
                <w:ilvl w:val="0"/>
                <w:numId w:val="0"/>
              </w:numPr>
              <w:spacing w:after="0"/>
              <w:ind w:left="386"/>
              <w:rPr>
                <w:rFonts w:asciiTheme="minorHAnsi" w:hAnsiTheme="minorHAnsi"/>
                <w:b/>
                <w:bCs w:val="0"/>
              </w:rPr>
            </w:pPr>
            <w:r w:rsidRPr="0066750A">
              <w:rPr>
                <w:rFonts w:asciiTheme="minorHAnsi" w:hAnsiTheme="minorHAnsi"/>
                <w:b/>
                <w:bCs w:val="0"/>
              </w:rPr>
              <w:t xml:space="preserve">Additional information. </w:t>
            </w:r>
          </w:p>
          <w:p w14:paraId="428F0627" w14:textId="77777777" w:rsidR="002A41AC" w:rsidRPr="0066750A" w:rsidRDefault="002A41AC" w:rsidP="00964227">
            <w:pPr>
              <w:pStyle w:val="ListParagraph"/>
              <w:numPr>
                <w:ilvl w:val="0"/>
                <w:numId w:val="0"/>
              </w:numPr>
              <w:ind w:left="386"/>
              <w:rPr>
                <w:rFonts w:asciiTheme="minorHAnsi" w:hAnsiTheme="minorHAnsi"/>
              </w:rPr>
            </w:pPr>
            <w:proofErr w:type="gramStart"/>
            <w:r w:rsidRPr="0066750A">
              <w:rPr>
                <w:rFonts w:asciiTheme="minorHAnsi" w:hAnsiTheme="minorHAnsi"/>
              </w:rPr>
              <w:t>In order to</w:t>
            </w:r>
            <w:proofErr w:type="gramEnd"/>
            <w:r w:rsidRPr="0066750A">
              <w:rPr>
                <w:rFonts w:asciiTheme="minorHAnsi" w:hAnsiTheme="minorHAnsi"/>
              </w:rPr>
              <w:t xml:space="preserve"> participate in the energy flexibility market the Resource needs to be measured and to be qualified for the grid.</w:t>
            </w:r>
          </w:p>
        </w:tc>
      </w:tr>
      <w:tr w:rsidR="002A41AC" w:rsidRPr="0066750A" w14:paraId="441B24D8" w14:textId="77777777" w:rsidTr="00964227">
        <w:trPr>
          <w:cantSplit/>
          <w:tblCellSpacing w:w="15" w:type="dxa"/>
        </w:trPr>
        <w:tc>
          <w:tcPr>
            <w:tcW w:w="906" w:type="dxa"/>
            <w:vAlign w:val="center"/>
          </w:tcPr>
          <w:p w14:paraId="09934EB2" w14:textId="77777777" w:rsidR="002A41AC" w:rsidRPr="0066750A" w:rsidRDefault="002A41AC" w:rsidP="00964227">
            <w:pPr>
              <w:rPr>
                <w:rFonts w:cstheme="minorHAnsi"/>
              </w:rPr>
            </w:pPr>
            <w:r w:rsidRPr="0066750A">
              <w:rPr>
                <w:rFonts w:cstheme="minorHAnsi"/>
              </w:rPr>
              <w:t>Resource</w:t>
            </w:r>
          </w:p>
        </w:tc>
        <w:tc>
          <w:tcPr>
            <w:tcW w:w="1760" w:type="dxa"/>
            <w:vAlign w:val="center"/>
            <w:hideMark/>
          </w:tcPr>
          <w:p w14:paraId="733ECA38" w14:textId="77777777" w:rsidR="002A41AC" w:rsidRPr="0066750A" w:rsidRDefault="002A41AC" w:rsidP="00964227">
            <w:pPr>
              <w:ind w:left="109"/>
              <w:rPr>
                <w:rFonts w:cstheme="minorHAnsi"/>
              </w:rPr>
            </w:pPr>
            <w:r w:rsidRPr="0066750A">
              <w:rPr>
                <w:rFonts w:cstheme="minorHAnsi"/>
              </w:rPr>
              <w:t>Resource</w:t>
            </w:r>
          </w:p>
        </w:tc>
        <w:tc>
          <w:tcPr>
            <w:tcW w:w="3320" w:type="dxa"/>
            <w:vAlign w:val="center"/>
            <w:hideMark/>
          </w:tcPr>
          <w:p w14:paraId="4AE0B217"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 xml:space="preserve">A market representation of an asset or a group of assets related to the energy industry. </w:t>
            </w:r>
          </w:p>
          <w:p w14:paraId="291CFDFD" w14:textId="77777777" w:rsidR="002A41AC" w:rsidRPr="0066750A" w:rsidRDefault="002A41AC" w:rsidP="00964227">
            <w:pPr>
              <w:pStyle w:val="NormalWeb"/>
              <w:spacing w:after="120" w:afterAutospacing="0"/>
              <w:ind w:left="108"/>
              <w:rPr>
                <w:rFonts w:cstheme="minorHAnsi"/>
                <w:b/>
                <w:bCs/>
                <w:sz w:val="22"/>
                <w:szCs w:val="22"/>
              </w:rPr>
            </w:pPr>
            <w:r w:rsidRPr="0066750A">
              <w:rPr>
                <w:rFonts w:cstheme="minorHAnsi"/>
                <w:b/>
                <w:bCs/>
                <w:sz w:val="22"/>
                <w:szCs w:val="22"/>
              </w:rPr>
              <w:t>Additional information:</w:t>
            </w:r>
          </w:p>
          <w:p w14:paraId="5848A063" w14:textId="77777777" w:rsidR="002A41AC" w:rsidRPr="0066750A" w:rsidRDefault="002A41AC" w:rsidP="00964227">
            <w:pPr>
              <w:ind w:left="108" w:right="142"/>
              <w:rPr>
                <w:rFonts w:cstheme="minorHAnsi"/>
              </w:rPr>
            </w:pPr>
            <w:r w:rsidRPr="0066750A">
              <w:rPr>
                <w:rFonts w:cstheme="minorHAnsi"/>
              </w:rPr>
              <w:t>A Resource represents for example grid assets, consumption assets or production assets, such as generating units, consumption units, energy storage units or virtual power plants.</w:t>
            </w:r>
          </w:p>
        </w:tc>
        <w:tc>
          <w:tcPr>
            <w:tcW w:w="3942" w:type="dxa"/>
          </w:tcPr>
          <w:p w14:paraId="753DC8C2" w14:textId="77777777" w:rsidR="002A41AC" w:rsidRPr="0066750A" w:rsidRDefault="002A41AC" w:rsidP="00964227">
            <w:pPr>
              <w:spacing w:after="0"/>
              <w:rPr>
                <w:rFonts w:cstheme="minorHAnsi"/>
                <w:b/>
                <w:bCs/>
                <w:i/>
                <w:iCs/>
              </w:rPr>
            </w:pPr>
            <w:r w:rsidRPr="0066750A">
              <w:rPr>
                <w:rFonts w:cstheme="minorHAnsi"/>
                <w:b/>
                <w:bCs/>
                <w:i/>
                <w:iCs/>
              </w:rPr>
              <w:t>20230130:</w:t>
            </w:r>
          </w:p>
          <w:p w14:paraId="5E4BAFAA"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Rephrase to:</w:t>
            </w:r>
          </w:p>
          <w:p w14:paraId="189EE9E5" w14:textId="77777777" w:rsidR="002A41AC" w:rsidRPr="0066750A" w:rsidRDefault="002A41AC" w:rsidP="00964227">
            <w:pPr>
              <w:pStyle w:val="NormalWeb"/>
              <w:spacing w:before="60" w:beforeAutospacing="0" w:after="120" w:afterAutospacing="0"/>
              <w:ind w:left="522"/>
              <w:rPr>
                <w:rFonts w:cstheme="minorHAnsi"/>
                <w:i/>
                <w:iCs/>
                <w:sz w:val="22"/>
                <w:szCs w:val="22"/>
              </w:rPr>
            </w:pPr>
            <w:r w:rsidRPr="0066750A">
              <w:rPr>
                <w:rFonts w:cstheme="minorHAnsi"/>
                <w:i/>
                <w:iCs/>
                <w:sz w:val="22"/>
                <w:szCs w:val="22"/>
              </w:rPr>
              <w:t>An asset or a group of assets delivering energy services.</w:t>
            </w:r>
          </w:p>
          <w:p w14:paraId="237FC791" w14:textId="77777777" w:rsidR="002A41AC" w:rsidRPr="0066750A" w:rsidRDefault="002A41AC" w:rsidP="00964227">
            <w:pPr>
              <w:pStyle w:val="NormalWeb"/>
              <w:spacing w:before="0" w:beforeAutospacing="0" w:after="0" w:afterAutospacing="0"/>
              <w:ind w:left="522"/>
              <w:rPr>
                <w:rFonts w:cstheme="minorHAnsi"/>
                <w:b/>
                <w:bCs/>
                <w:i/>
                <w:iCs/>
                <w:sz w:val="22"/>
                <w:szCs w:val="22"/>
              </w:rPr>
            </w:pPr>
            <w:r w:rsidRPr="0066750A">
              <w:rPr>
                <w:rFonts w:cstheme="minorHAnsi"/>
                <w:b/>
                <w:bCs/>
                <w:i/>
                <w:iCs/>
                <w:sz w:val="22"/>
                <w:szCs w:val="22"/>
              </w:rPr>
              <w:t>Additional information:</w:t>
            </w:r>
          </w:p>
          <w:p w14:paraId="7817C330" w14:textId="77777777" w:rsidR="002A41AC" w:rsidRPr="0066750A" w:rsidRDefault="002A41AC" w:rsidP="00964227">
            <w:pPr>
              <w:pStyle w:val="NormalWeb"/>
              <w:spacing w:before="60" w:beforeAutospacing="0" w:after="240" w:afterAutospacing="0"/>
              <w:ind w:left="522"/>
              <w:rPr>
                <w:rFonts w:cstheme="minorHAnsi"/>
                <w:i/>
                <w:iCs/>
                <w:sz w:val="22"/>
                <w:szCs w:val="22"/>
              </w:rPr>
            </w:pPr>
            <w:r w:rsidRPr="0066750A">
              <w:rPr>
                <w:rFonts w:cstheme="minorHAnsi"/>
                <w:i/>
                <w:iCs/>
                <w:sz w:val="22"/>
                <w:szCs w:val="22"/>
              </w:rPr>
              <w:t>A Resource represents for example grid assets, energy generating units, energy consuming units, energy storing units or a virtual power plant.</w:t>
            </w:r>
          </w:p>
          <w:p w14:paraId="42A80D83" w14:textId="77777777" w:rsidR="002A41AC" w:rsidRPr="0066750A" w:rsidRDefault="002A41AC" w:rsidP="002A41AC">
            <w:pPr>
              <w:pStyle w:val="ListParagraph"/>
              <w:numPr>
                <w:ilvl w:val="0"/>
                <w:numId w:val="24"/>
              </w:numPr>
              <w:ind w:left="386" w:hanging="142"/>
              <w:rPr>
                <w:rFonts w:asciiTheme="minorHAnsi" w:hAnsiTheme="minorHAnsi"/>
                <w:i/>
                <w:iCs/>
              </w:rPr>
            </w:pPr>
            <w:r w:rsidRPr="0066750A">
              <w:rPr>
                <w:rFonts w:asciiTheme="minorHAnsi" w:hAnsiTheme="minorHAnsi"/>
              </w:rPr>
              <w:t>Nice examples, but strange in the HEMRM structure (</w:t>
            </w:r>
            <w:proofErr w:type="gramStart"/>
            <w:r w:rsidRPr="0066750A">
              <w:rPr>
                <w:rFonts w:asciiTheme="minorHAnsi" w:hAnsiTheme="minorHAnsi"/>
              </w:rPr>
              <w:t>not many</w:t>
            </w:r>
            <w:proofErr w:type="gramEnd"/>
            <w:r w:rsidRPr="0066750A">
              <w:rPr>
                <w:rFonts w:asciiTheme="minorHAnsi" w:hAnsiTheme="minorHAnsi"/>
              </w:rPr>
              <w:t xml:space="preserve"> examples in other roles and domain definitions).</w:t>
            </w:r>
          </w:p>
        </w:tc>
      </w:tr>
      <w:tr w:rsidR="002A41AC" w:rsidRPr="00F52707" w14:paraId="0827E4D4" w14:textId="77777777" w:rsidTr="00964227">
        <w:trPr>
          <w:cantSplit/>
          <w:tblCellSpacing w:w="15" w:type="dxa"/>
        </w:trPr>
        <w:tc>
          <w:tcPr>
            <w:tcW w:w="906" w:type="dxa"/>
            <w:tcBorders>
              <w:top w:val="single" w:sz="4" w:space="0" w:color="auto"/>
              <w:left w:val="single" w:sz="4" w:space="0" w:color="auto"/>
              <w:bottom w:val="single" w:sz="4" w:space="0" w:color="auto"/>
              <w:right w:val="single" w:sz="4" w:space="0" w:color="auto"/>
            </w:tcBorders>
            <w:vAlign w:val="center"/>
          </w:tcPr>
          <w:p w14:paraId="60614C88" w14:textId="77777777" w:rsidR="002A41AC" w:rsidRPr="0066750A" w:rsidRDefault="002A41AC" w:rsidP="00964227">
            <w:pPr>
              <w:rPr>
                <w:rFonts w:cstheme="minorHAnsi"/>
              </w:rPr>
            </w:pPr>
            <w:r w:rsidRPr="0066750A">
              <w:rPr>
                <w:rFonts w:cstheme="minorHAnsi"/>
              </w:rPr>
              <w:lastRenderedPageBreak/>
              <w:t>Resource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FC1E3FD" w14:textId="77777777" w:rsidR="002A41AC" w:rsidRPr="0066750A" w:rsidRDefault="002A41AC" w:rsidP="00964227">
            <w:pPr>
              <w:ind w:left="109"/>
              <w:rPr>
                <w:rFonts w:cstheme="minorHAnsi"/>
              </w:rPr>
            </w:pPr>
            <w:r w:rsidRPr="0066750A">
              <w:rPr>
                <w:rFonts w:cstheme="minorHAnsi"/>
              </w:rPr>
              <w:t>Resource Capacity Market Unit</w:t>
            </w:r>
          </w:p>
        </w:tc>
        <w:tc>
          <w:tcPr>
            <w:tcW w:w="3320" w:type="dxa"/>
            <w:tcBorders>
              <w:top w:val="single" w:sz="4" w:space="0" w:color="auto"/>
              <w:left w:val="single" w:sz="4" w:space="0" w:color="auto"/>
              <w:bottom w:val="single" w:sz="4" w:space="0" w:color="auto"/>
              <w:right w:val="single" w:sz="4" w:space="0" w:color="auto"/>
            </w:tcBorders>
            <w:vAlign w:val="center"/>
            <w:hideMark/>
          </w:tcPr>
          <w:p w14:paraId="1C540793" w14:textId="77777777" w:rsidR="002A41AC" w:rsidRPr="0066750A" w:rsidRDefault="002A41AC" w:rsidP="00964227">
            <w:pPr>
              <w:pStyle w:val="NormalWeb"/>
              <w:spacing w:before="60" w:beforeAutospacing="0" w:after="240" w:afterAutospacing="0"/>
              <w:ind w:left="108"/>
              <w:rPr>
                <w:rFonts w:cstheme="minorHAnsi"/>
                <w:sz w:val="22"/>
                <w:szCs w:val="22"/>
              </w:rPr>
            </w:pPr>
            <w:r w:rsidRPr="0066750A">
              <w:rPr>
                <w:rFonts w:cstheme="minorHAnsi"/>
                <w:sz w:val="22"/>
                <w:szCs w:val="22"/>
              </w:rPr>
              <w:t>An aggregated Resource that can aggregate one or several Resources, and a Resource can form part of only one Resource Capacity Market Unit.</w:t>
            </w:r>
          </w:p>
          <w:p w14:paraId="5EB361C0" w14:textId="77777777" w:rsidR="002A41AC" w:rsidRPr="0066750A" w:rsidRDefault="002A41AC" w:rsidP="00964227">
            <w:pPr>
              <w:pStyle w:val="NormalWeb"/>
              <w:spacing w:before="60" w:beforeAutospacing="0" w:after="0" w:afterAutospacing="0"/>
              <w:ind w:left="108"/>
              <w:rPr>
                <w:rFonts w:cstheme="minorHAnsi"/>
                <w:b/>
                <w:bCs/>
                <w:sz w:val="22"/>
                <w:szCs w:val="22"/>
              </w:rPr>
            </w:pPr>
            <w:r w:rsidRPr="0066750A">
              <w:rPr>
                <w:rFonts w:cstheme="minorHAnsi"/>
                <w:b/>
                <w:bCs/>
                <w:sz w:val="22"/>
                <w:szCs w:val="22"/>
              </w:rPr>
              <w:t>Additional information:</w:t>
            </w:r>
          </w:p>
          <w:p w14:paraId="22B9EA4E" w14:textId="77777777" w:rsidR="002A41AC" w:rsidRPr="0066750A" w:rsidRDefault="002A41AC" w:rsidP="00964227">
            <w:pPr>
              <w:pStyle w:val="NormalWeb"/>
              <w:spacing w:before="60" w:beforeAutospacing="0" w:after="120" w:afterAutospacing="0"/>
              <w:ind w:left="108"/>
              <w:rPr>
                <w:rFonts w:cstheme="minorHAnsi"/>
                <w:sz w:val="22"/>
                <w:szCs w:val="22"/>
              </w:rPr>
            </w:pPr>
            <w:r w:rsidRPr="0066750A">
              <w:rPr>
                <w:rFonts w:cstheme="minorHAnsi"/>
                <w:sz w:val="22"/>
                <w:szCs w:val="22"/>
              </w:rPr>
              <w:t>A Resource Capacity Market Unit may participate in the domestic Capacity Remuneration Mechanism and in the foreign Capacity Remuneration Mechanism if the direct cross border participation is applied. The Resource Capacity Market Operator together with the TSO where the Resource Capacity Market Unit is located is responsible for carrying out availability checks and maintaining data in the Registry.</w:t>
            </w:r>
          </w:p>
        </w:tc>
        <w:tc>
          <w:tcPr>
            <w:tcW w:w="3942" w:type="dxa"/>
            <w:tcBorders>
              <w:top w:val="single" w:sz="4" w:space="0" w:color="auto"/>
              <w:left w:val="single" w:sz="4" w:space="0" w:color="auto"/>
              <w:bottom w:val="single" w:sz="4" w:space="0" w:color="auto"/>
              <w:right w:val="single" w:sz="4" w:space="0" w:color="auto"/>
            </w:tcBorders>
          </w:tcPr>
          <w:p w14:paraId="515E66DC" w14:textId="77777777" w:rsidR="002A41AC" w:rsidRPr="0066750A" w:rsidRDefault="002A41AC" w:rsidP="00964227">
            <w:pPr>
              <w:spacing w:after="0"/>
              <w:rPr>
                <w:rFonts w:cstheme="minorHAnsi"/>
                <w:b/>
                <w:bCs/>
                <w:i/>
                <w:iCs/>
              </w:rPr>
            </w:pPr>
            <w:r w:rsidRPr="0066750A">
              <w:rPr>
                <w:rFonts w:cstheme="minorHAnsi"/>
                <w:b/>
                <w:bCs/>
                <w:i/>
                <w:iCs/>
              </w:rPr>
              <w:t>20230130:</w:t>
            </w:r>
          </w:p>
          <w:p w14:paraId="2D9CEC6D" w14:textId="7D9E3B41" w:rsidR="002A41AC" w:rsidRPr="0066750A" w:rsidRDefault="004E01D9" w:rsidP="002A41AC">
            <w:pPr>
              <w:pStyle w:val="ListParagraph"/>
              <w:numPr>
                <w:ilvl w:val="0"/>
                <w:numId w:val="24"/>
              </w:numPr>
              <w:ind w:left="386" w:hanging="142"/>
              <w:rPr>
                <w:rFonts w:asciiTheme="minorHAnsi" w:hAnsiTheme="minorHAnsi"/>
              </w:rPr>
            </w:pPr>
            <w:r w:rsidRPr="0066750A">
              <w:rPr>
                <w:rFonts w:asciiTheme="minorHAnsi" w:hAnsiTheme="minorHAnsi"/>
              </w:rPr>
              <w:t>A Resource Capacity Market Unit sounds like what is called a Pool</w:t>
            </w:r>
            <w:r w:rsidR="000E1A29" w:rsidRPr="0066750A">
              <w:rPr>
                <w:rFonts w:asciiTheme="minorHAnsi" w:hAnsiTheme="minorHAnsi"/>
              </w:rPr>
              <w:t xml:space="preserve">, which is the term </w:t>
            </w:r>
            <w:r w:rsidRPr="0066750A">
              <w:rPr>
                <w:rFonts w:asciiTheme="minorHAnsi" w:hAnsiTheme="minorHAnsi"/>
              </w:rPr>
              <w:t>used in the ebIX® BRS for Prepare and aggregate Resources for flexibility services</w:t>
            </w:r>
            <w:r w:rsidR="002A41AC" w:rsidRPr="0066750A">
              <w:rPr>
                <w:rFonts w:asciiTheme="minorHAnsi" w:hAnsiTheme="minorHAnsi"/>
              </w:rPr>
              <w:t>:</w:t>
            </w:r>
          </w:p>
          <w:p w14:paraId="7826D7A7" w14:textId="77777777" w:rsidR="002A41AC" w:rsidRDefault="002A41AC" w:rsidP="00964227">
            <w:pPr>
              <w:pStyle w:val="ListParagraph"/>
              <w:numPr>
                <w:ilvl w:val="0"/>
                <w:numId w:val="0"/>
              </w:numPr>
              <w:ind w:left="386"/>
              <w:rPr>
                <w:rFonts w:asciiTheme="minorHAnsi" w:hAnsiTheme="minorHAnsi"/>
                <w:i/>
                <w:iCs/>
              </w:rPr>
            </w:pPr>
            <w:r w:rsidRPr="0066750A">
              <w:rPr>
                <w:rFonts w:asciiTheme="minorHAnsi" w:hAnsiTheme="minorHAnsi"/>
                <w:i/>
                <w:iCs/>
              </w:rPr>
              <w:t>“</w:t>
            </w:r>
            <w:r w:rsidRPr="0066750A">
              <w:rPr>
                <w:rFonts w:asciiTheme="minorHAnsi" w:hAnsiTheme="minorHAnsi"/>
                <w:b/>
                <w:i/>
                <w:iCs/>
              </w:rPr>
              <w:t>A pool</w:t>
            </w:r>
            <w:r w:rsidRPr="0066750A">
              <w:rPr>
                <w:rFonts w:asciiTheme="minorHAnsi" w:hAnsiTheme="minorHAnsi"/>
                <w:i/>
                <w:iCs/>
              </w:rPr>
              <w:t xml:space="preserve"> is a collection of one or more Resources that is used by a Flexibility Service Provider to offer one or more flexibility products to the market”.</w:t>
            </w:r>
          </w:p>
          <w:p w14:paraId="519FF039" w14:textId="7CD66851" w:rsidR="00F52707" w:rsidRPr="00F52707" w:rsidRDefault="00F52707" w:rsidP="00F52707">
            <w:pPr>
              <w:rPr>
                <w:b/>
                <w:bCs/>
                <w:i/>
                <w:iCs/>
              </w:rPr>
            </w:pPr>
            <w:r>
              <w:rPr>
                <w:b/>
                <w:bCs/>
                <w:i/>
                <w:iCs/>
              </w:rPr>
              <w:t>20230426:</w:t>
            </w:r>
          </w:p>
          <w:p w14:paraId="5549FE6F" w14:textId="77777777" w:rsidR="002A41AC" w:rsidRDefault="00F52707" w:rsidP="00F52707">
            <w:pPr>
              <w:pStyle w:val="ListParagraph"/>
              <w:numPr>
                <w:ilvl w:val="0"/>
                <w:numId w:val="24"/>
              </w:numPr>
              <w:ind w:left="386" w:hanging="142"/>
            </w:pPr>
            <w:r>
              <w:t xml:space="preserve">Propose to rename the </w:t>
            </w:r>
            <w:r w:rsidRPr="0066750A">
              <w:t>Resource Capacity Market Unit</w:t>
            </w:r>
            <w:r>
              <w:t xml:space="preserve"> to Resource Pool to align the name with what is commonly used in European flexibility projects and not to limit it just to capacity markets. An alternative would be having the </w:t>
            </w:r>
            <w:r w:rsidRPr="0066750A">
              <w:t>Resource Capacity Market Unit</w:t>
            </w:r>
            <w:r>
              <w:t xml:space="preserve"> as a specialisation (type of) Resource Pool.</w:t>
            </w:r>
          </w:p>
          <w:p w14:paraId="052C1B81" w14:textId="12B2BBF3" w:rsidR="005F2ED5" w:rsidRPr="0066750A" w:rsidRDefault="005F2ED5" w:rsidP="00F52707">
            <w:pPr>
              <w:pStyle w:val="ListParagraph"/>
              <w:numPr>
                <w:ilvl w:val="0"/>
                <w:numId w:val="24"/>
              </w:numPr>
              <w:ind w:left="386" w:hanging="142"/>
            </w:pPr>
            <w:r>
              <w:t>Based on the comment in the bullet point above, the cardinality of the association from Resource to Metering Point can be changed from [</w:t>
            </w:r>
            <w:proofErr w:type="gramStart"/>
            <w:r>
              <w:t>1..</w:t>
            </w:r>
            <w:proofErr w:type="gramEnd"/>
            <w:r>
              <w:t>*] to [1].</w:t>
            </w:r>
          </w:p>
        </w:tc>
      </w:tr>
    </w:tbl>
    <w:p w14:paraId="7D825EFF" w14:textId="69881D26" w:rsidR="002A41AC" w:rsidRPr="0066750A" w:rsidRDefault="00F52707" w:rsidP="002A41AC">
      <w:pPr>
        <w:spacing w:after="0"/>
        <w:rPr>
          <w:rFonts w:cstheme="minorHAnsi"/>
        </w:rPr>
      </w:pPr>
      <w:r>
        <w:rPr>
          <w:rFonts w:cstheme="minorHAnsi"/>
        </w:rPr>
        <w:t>20230426:</w:t>
      </w:r>
    </w:p>
    <w:p w14:paraId="0D834F81" w14:textId="77777777" w:rsidR="002A41AC" w:rsidRPr="0066750A" w:rsidRDefault="002A41AC" w:rsidP="002A41AC">
      <w:pPr>
        <w:spacing w:after="0"/>
        <w:rPr>
          <w:rFonts w:cstheme="minorHAnsi"/>
          <w:lang w:eastAsia="en-US"/>
        </w:rPr>
      </w:pPr>
    </w:p>
    <w:p w14:paraId="018DCCE0" w14:textId="77777777" w:rsidR="002A41AC" w:rsidRPr="0066750A" w:rsidRDefault="002A41AC" w:rsidP="002A41AC">
      <w:pPr>
        <w:pStyle w:val="Appendix20"/>
        <w:numPr>
          <w:ilvl w:val="1"/>
          <w:numId w:val="7"/>
        </w:numPr>
        <w:ind w:left="567"/>
        <w:rPr>
          <w:rFonts w:cstheme="minorHAnsi"/>
        </w:rPr>
      </w:pPr>
      <w:bookmarkStart w:id="12" w:name="_Toc99016527"/>
      <w:r w:rsidRPr="0066750A">
        <w:rPr>
          <w:rFonts w:cstheme="minorHAnsi"/>
        </w:rPr>
        <w:t>Accounts</w:t>
      </w:r>
      <w:bookmarkEnd w:id="12"/>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3"/>
        <w:gridCol w:w="1790"/>
        <w:gridCol w:w="3340"/>
        <w:gridCol w:w="3897"/>
      </w:tblGrid>
      <w:tr w:rsidR="002A41AC" w:rsidRPr="0066750A" w14:paraId="76B1A999" w14:textId="77777777" w:rsidTr="00964227">
        <w:trPr>
          <w:cantSplit/>
          <w:tblHeader/>
          <w:tblCellSpacing w:w="15" w:type="dxa"/>
        </w:trPr>
        <w:tc>
          <w:tcPr>
            <w:tcW w:w="10018" w:type="dxa"/>
            <w:gridSpan w:val="4"/>
          </w:tcPr>
          <w:p w14:paraId="37F96C04" w14:textId="77777777" w:rsidR="002A41AC" w:rsidRPr="0066750A" w:rsidRDefault="002A41AC" w:rsidP="00964227">
            <w:pPr>
              <w:keepNext/>
              <w:jc w:val="center"/>
              <w:rPr>
                <w:rFonts w:cstheme="minorHAnsi"/>
                <w:b/>
              </w:rPr>
            </w:pPr>
            <w:r w:rsidRPr="0066750A">
              <w:rPr>
                <w:rFonts w:cstheme="minorHAnsi"/>
                <w:b/>
              </w:rPr>
              <w:t>ACCOUNTS</w:t>
            </w:r>
          </w:p>
        </w:tc>
      </w:tr>
      <w:tr w:rsidR="002A41AC" w:rsidRPr="0066750A" w14:paraId="67A17C35" w14:textId="77777777" w:rsidTr="00964227">
        <w:trPr>
          <w:tblHeader/>
          <w:tblCellSpacing w:w="15" w:type="dxa"/>
        </w:trPr>
        <w:tc>
          <w:tcPr>
            <w:tcW w:w="819" w:type="dxa"/>
          </w:tcPr>
          <w:p w14:paraId="18C43737" w14:textId="77777777" w:rsidR="002A41AC" w:rsidRPr="0066750A" w:rsidRDefault="002A41AC" w:rsidP="00964227">
            <w:pPr>
              <w:jc w:val="center"/>
              <w:rPr>
                <w:rFonts w:cstheme="minorHAnsi"/>
                <w:b/>
              </w:rPr>
            </w:pPr>
            <w:r w:rsidRPr="0066750A">
              <w:rPr>
                <w:rFonts w:cstheme="minorHAnsi"/>
                <w:b/>
              </w:rPr>
              <w:t>TYPE</w:t>
            </w:r>
          </w:p>
        </w:tc>
        <w:tc>
          <w:tcPr>
            <w:tcW w:w="1787" w:type="dxa"/>
            <w:vAlign w:val="center"/>
            <w:hideMark/>
          </w:tcPr>
          <w:p w14:paraId="3A86EA5C" w14:textId="77777777" w:rsidR="002A41AC" w:rsidRPr="0066750A" w:rsidRDefault="002A41AC" w:rsidP="00964227">
            <w:pPr>
              <w:ind w:left="109"/>
              <w:jc w:val="center"/>
              <w:rPr>
                <w:rFonts w:cstheme="minorHAnsi"/>
                <w:b/>
              </w:rPr>
            </w:pPr>
            <w:r w:rsidRPr="0066750A">
              <w:rPr>
                <w:rFonts w:cstheme="minorHAnsi"/>
                <w:b/>
              </w:rPr>
              <w:t>ACCOUNT NAME</w:t>
            </w:r>
          </w:p>
        </w:tc>
        <w:tc>
          <w:tcPr>
            <w:tcW w:w="3380" w:type="dxa"/>
            <w:vAlign w:val="center"/>
            <w:hideMark/>
          </w:tcPr>
          <w:p w14:paraId="64D999CC" w14:textId="77777777" w:rsidR="002A41AC" w:rsidRPr="0066750A" w:rsidRDefault="002A41AC" w:rsidP="00964227">
            <w:pPr>
              <w:ind w:left="102"/>
              <w:jc w:val="center"/>
              <w:rPr>
                <w:rFonts w:cstheme="minorHAnsi"/>
                <w:b/>
              </w:rPr>
            </w:pPr>
            <w:r w:rsidRPr="0066750A">
              <w:rPr>
                <w:rFonts w:cstheme="minorHAnsi"/>
                <w:b/>
              </w:rPr>
              <w:t>DESCRIPTION</w:t>
            </w:r>
          </w:p>
        </w:tc>
        <w:tc>
          <w:tcPr>
            <w:tcW w:w="3942" w:type="dxa"/>
          </w:tcPr>
          <w:p w14:paraId="0AEE00CD" w14:textId="77777777" w:rsidR="002A41AC" w:rsidRPr="0066750A" w:rsidRDefault="002A41AC" w:rsidP="00964227">
            <w:pPr>
              <w:ind w:left="102"/>
              <w:jc w:val="center"/>
              <w:rPr>
                <w:rFonts w:cstheme="minorHAnsi"/>
                <w:b/>
              </w:rPr>
            </w:pPr>
            <w:r w:rsidRPr="0066750A">
              <w:rPr>
                <w:rFonts w:cstheme="minorHAnsi"/>
                <w:b/>
              </w:rPr>
              <w:t>EBG COMMENTS</w:t>
            </w:r>
          </w:p>
        </w:tc>
      </w:tr>
      <w:tr w:rsidR="002A41AC" w:rsidRPr="0066750A" w14:paraId="2F4799A7" w14:textId="77777777" w:rsidTr="00964227">
        <w:trPr>
          <w:tblCellSpacing w:w="15" w:type="dxa"/>
        </w:trPr>
        <w:tc>
          <w:tcPr>
            <w:tcW w:w="819" w:type="dxa"/>
            <w:vAlign w:val="center"/>
          </w:tcPr>
          <w:p w14:paraId="3926DEE3" w14:textId="77777777" w:rsidR="002A41AC" w:rsidRPr="0066750A" w:rsidRDefault="002A41AC" w:rsidP="00964227">
            <w:pPr>
              <w:rPr>
                <w:rFonts w:cstheme="minorHAnsi"/>
              </w:rPr>
            </w:pPr>
            <w:r w:rsidRPr="0066750A">
              <w:rPr>
                <w:rFonts w:cstheme="minorHAnsi"/>
              </w:rPr>
              <w:t>Account</w:t>
            </w:r>
          </w:p>
        </w:tc>
        <w:tc>
          <w:tcPr>
            <w:tcW w:w="1787" w:type="dxa"/>
            <w:vAlign w:val="center"/>
            <w:hideMark/>
          </w:tcPr>
          <w:p w14:paraId="234177F1" w14:textId="77777777" w:rsidR="002A41AC" w:rsidRPr="0066750A" w:rsidRDefault="002A41AC" w:rsidP="00964227">
            <w:pPr>
              <w:ind w:left="109"/>
              <w:rPr>
                <w:rFonts w:cstheme="minorHAnsi"/>
              </w:rPr>
            </w:pPr>
            <w:r w:rsidRPr="0066750A">
              <w:rPr>
                <w:rFonts w:cstheme="minorHAnsi"/>
              </w:rPr>
              <w:t>Balance Group</w:t>
            </w:r>
          </w:p>
        </w:tc>
        <w:tc>
          <w:tcPr>
            <w:tcW w:w="3380" w:type="dxa"/>
            <w:vAlign w:val="center"/>
            <w:hideMark/>
          </w:tcPr>
          <w:p w14:paraId="21A32B59" w14:textId="77777777" w:rsidR="002A41AC" w:rsidRPr="0066750A" w:rsidRDefault="002A41AC" w:rsidP="00964227">
            <w:pPr>
              <w:ind w:left="108" w:right="142"/>
              <w:rPr>
                <w:rFonts w:cstheme="minorHAnsi"/>
              </w:rPr>
            </w:pPr>
            <w:r w:rsidRPr="0066750A">
              <w:rPr>
                <w:rFonts w:cstheme="minorHAnsi"/>
              </w:rPr>
              <w:t xml:space="preserve">An energy account under responsibility of a Balance Responsible Party used to determine imbalance considering </w:t>
            </w:r>
            <w:r w:rsidRPr="0066750A">
              <w:rPr>
                <w:rFonts w:cstheme="minorHAnsi"/>
              </w:rPr>
              <w:lastRenderedPageBreak/>
              <w:t>predefined inputs and outputs within a specific Scheduling Area.</w:t>
            </w:r>
          </w:p>
        </w:tc>
        <w:tc>
          <w:tcPr>
            <w:tcW w:w="3942" w:type="dxa"/>
          </w:tcPr>
          <w:p w14:paraId="0BC2C429" w14:textId="77777777" w:rsidR="002A41AC" w:rsidRPr="0066750A" w:rsidRDefault="002A41AC" w:rsidP="00964227">
            <w:pPr>
              <w:spacing w:after="0"/>
              <w:rPr>
                <w:rFonts w:cstheme="minorHAnsi"/>
                <w:b/>
                <w:bCs/>
                <w:i/>
                <w:iCs/>
              </w:rPr>
            </w:pPr>
            <w:r w:rsidRPr="0066750A">
              <w:rPr>
                <w:rFonts w:cstheme="minorHAnsi"/>
                <w:b/>
                <w:bCs/>
                <w:i/>
                <w:iCs/>
              </w:rPr>
              <w:lastRenderedPageBreak/>
              <w:t>20230130:</w:t>
            </w:r>
          </w:p>
          <w:p w14:paraId="49EC0FAB" w14:textId="77777777" w:rsidR="002A41AC" w:rsidRPr="0066750A" w:rsidRDefault="002A41AC" w:rsidP="002A41AC">
            <w:pPr>
              <w:pStyle w:val="ListParagraph"/>
              <w:numPr>
                <w:ilvl w:val="0"/>
                <w:numId w:val="24"/>
              </w:numPr>
              <w:ind w:left="386" w:hanging="142"/>
              <w:rPr>
                <w:rFonts w:asciiTheme="minorHAnsi" w:hAnsiTheme="minorHAnsi"/>
              </w:rPr>
            </w:pPr>
            <w:r w:rsidRPr="0066750A">
              <w:rPr>
                <w:rFonts w:asciiTheme="minorHAnsi" w:hAnsiTheme="minorHAnsi"/>
              </w:rPr>
              <w:t>The definition is unclear – please consider rephrasing.</w:t>
            </w:r>
          </w:p>
          <w:p w14:paraId="0021E47F" w14:textId="77777777" w:rsidR="002A41AC" w:rsidRPr="0066750A" w:rsidRDefault="002A41AC" w:rsidP="00964227">
            <w:pPr>
              <w:ind w:left="108" w:right="142"/>
              <w:rPr>
                <w:rFonts w:cstheme="minorHAnsi"/>
              </w:rPr>
            </w:pPr>
          </w:p>
        </w:tc>
      </w:tr>
      <w:bookmarkEnd w:id="1"/>
    </w:tbl>
    <w:p w14:paraId="68DE7A60" w14:textId="77777777" w:rsidR="002A41AC" w:rsidRPr="0066750A" w:rsidRDefault="002A41AC" w:rsidP="002A41AC">
      <w:pPr>
        <w:rPr>
          <w:rFonts w:cstheme="minorHAnsi"/>
        </w:rPr>
      </w:pPr>
    </w:p>
    <w:sectPr w:rsidR="002A41AC" w:rsidRPr="0066750A" w:rsidSect="00A51927">
      <w:headerReference w:type="default" r:id="rId38"/>
      <w:footerReference w:type="default" r:id="rId39"/>
      <w:headerReference w:type="first" r:id="rId40"/>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C97C" w14:textId="77777777" w:rsidR="00E06FE1" w:rsidRDefault="00E06FE1" w:rsidP="002A41AC">
      <w:pPr>
        <w:spacing w:after="0"/>
      </w:pPr>
      <w:r>
        <w:separator/>
      </w:r>
    </w:p>
  </w:endnote>
  <w:endnote w:type="continuationSeparator" w:id="0">
    <w:p w14:paraId="7B406D9E" w14:textId="77777777" w:rsidR="00E06FE1" w:rsidRDefault="00E06FE1" w:rsidP="002A4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B4E2" w14:textId="0727A395" w:rsidR="00A51927" w:rsidRPr="00A51927" w:rsidRDefault="00A51927" w:rsidP="00A51927">
    <w:pPr>
      <w:pStyle w:val="Footer"/>
      <w:tabs>
        <w:tab w:val="clear" w:pos="8306"/>
        <w:tab w:val="right" w:pos="9923"/>
        <w:tab w:val="right" w:pos="14317"/>
      </w:tabs>
      <w:ind w:right="-23"/>
      <w:rPr>
        <w:b/>
        <w:bCs/>
        <w:color w:val="2D5F9A"/>
      </w:rPr>
    </w:pPr>
    <w:r w:rsidRPr="00170D6B">
      <w:rPr>
        <w:b/>
        <w:bCs/>
        <w:color w:val="2D5F9A"/>
        <w:sz w:val="16"/>
        <w:szCs w:val="16"/>
      </w:rPr>
      <w:tab/>
    </w:r>
    <w:r w:rsidRPr="00170D6B">
      <w:rPr>
        <w:b/>
        <w:bCs/>
        <w:color w:val="2D5F9A"/>
        <w:sz w:val="16"/>
        <w:szCs w:val="16"/>
      </w:rPr>
      <w:tab/>
    </w:r>
    <w:r w:rsidRPr="00170D6B">
      <w:rPr>
        <w:color w:val="2D5F9A"/>
      </w:rPr>
      <w:t xml:space="preserve">Page: </w:t>
    </w:r>
    <w:r w:rsidRPr="00170D6B">
      <w:rPr>
        <w:color w:val="2D5F9A"/>
      </w:rPr>
      <w:fldChar w:fldCharType="begin"/>
    </w:r>
    <w:r w:rsidRPr="00170D6B">
      <w:rPr>
        <w:color w:val="2D5F9A"/>
      </w:rPr>
      <w:instrText xml:space="preserve"> PAGE  \* MERGEFORMAT </w:instrText>
    </w:r>
    <w:r w:rsidRPr="00170D6B">
      <w:rPr>
        <w:color w:val="2D5F9A"/>
      </w:rPr>
      <w:fldChar w:fldCharType="separate"/>
    </w:r>
    <w:r>
      <w:rPr>
        <w:color w:val="2D5F9A"/>
      </w:rPr>
      <w:t>1</w:t>
    </w:r>
    <w:r w:rsidRPr="00170D6B">
      <w:rPr>
        <w:color w:val="2D5F9A"/>
      </w:rPr>
      <w:fldChar w:fldCharType="end"/>
    </w:r>
    <w:r w:rsidRPr="00170D6B">
      <w:rPr>
        <w:color w:val="2D5F9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2B59" w14:textId="77777777" w:rsidR="00E06FE1" w:rsidRDefault="00E06FE1" w:rsidP="002A41AC">
      <w:pPr>
        <w:spacing w:after="0"/>
      </w:pPr>
      <w:r>
        <w:separator/>
      </w:r>
    </w:p>
  </w:footnote>
  <w:footnote w:type="continuationSeparator" w:id="0">
    <w:p w14:paraId="37095B5D" w14:textId="77777777" w:rsidR="00E06FE1" w:rsidRDefault="00E06FE1" w:rsidP="002A41AC">
      <w:pPr>
        <w:spacing w:after="0"/>
      </w:pPr>
      <w:r>
        <w:continuationSeparator/>
      </w:r>
    </w:p>
  </w:footnote>
  <w:footnote w:id="1">
    <w:p w14:paraId="42A6B7E9" w14:textId="77777777" w:rsidR="002A41AC" w:rsidRPr="003E6F7F" w:rsidRDefault="002A41AC" w:rsidP="002A41AC">
      <w:pPr>
        <w:pStyle w:val="FootnoteText"/>
      </w:pPr>
      <w:r>
        <w:rPr>
          <w:rStyle w:val="FootnoteReference"/>
        </w:rPr>
        <w:footnoteRef/>
      </w:r>
      <w:r>
        <w:t xml:space="preserve"> This is just examples, hence shouldn’t be there.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CEBD" w14:textId="490A0FAD" w:rsidR="00A51927" w:rsidRPr="00A51927" w:rsidRDefault="00A51927" w:rsidP="00A51927">
    <w:pPr>
      <w:tabs>
        <w:tab w:val="center" w:pos="4536"/>
        <w:tab w:val="right" w:pos="9923"/>
      </w:tabs>
      <w:autoSpaceDE/>
      <w:autoSpaceDN/>
      <w:spacing w:before="60" w:after="0"/>
      <w:ind w:left="907" w:hanging="907"/>
      <w:rPr>
        <w:rFonts w:ascii="Calibri" w:hAnsi="Calibri" w:cs="Calibri"/>
        <w:b/>
        <w:color w:val="2D5F91"/>
        <w:szCs w:val="24"/>
        <w:lang w:eastAsia="en-US"/>
      </w:rPr>
    </w:pPr>
    <w:r>
      <w:rPr>
        <w:rFonts w:ascii="Calibri" w:hAnsi="Calibri" w:cs="Calibri"/>
        <w:b/>
        <w:color w:val="2D5F91"/>
        <w:szCs w:val="24"/>
        <w:lang w:eastAsia="en-US"/>
      </w:rPr>
      <w:tab/>
    </w:r>
    <w:r>
      <w:rPr>
        <w:rFonts w:ascii="Calibri" w:hAnsi="Calibri" w:cs="Calibri"/>
        <w:b/>
        <w:color w:val="2D5F91"/>
        <w:szCs w:val="24"/>
        <w:lang w:eastAsia="en-US"/>
      </w:rPr>
      <w:tab/>
    </w:r>
    <w:r>
      <w:rPr>
        <w:rFonts w:ascii="Calibri" w:hAnsi="Calibri" w:cs="Calibri"/>
        <w:b/>
        <w:color w:val="2D5F91"/>
        <w:szCs w:val="24"/>
        <w:lang w:eastAsia="en-US"/>
      </w:rPr>
      <w:tab/>
    </w:r>
    <w:r w:rsidR="004B61CE">
      <w:rPr>
        <w:rFonts w:ascii="Calibri" w:hAnsi="Calibri" w:cs="Calibri"/>
        <w:b/>
        <w:color w:val="2D5F91"/>
        <w:szCs w:val="24"/>
        <w:lang w:eastAsia="en-US"/>
      </w:rPr>
      <w:t xml:space="preserve">ebIX® </w:t>
    </w:r>
    <w:r>
      <w:rPr>
        <w:rFonts w:ascii="Calibri" w:hAnsi="Calibri" w:cs="Calibri"/>
        <w:b/>
        <w:color w:val="2D5F91"/>
        <w:szCs w:val="24"/>
        <w:lang w:eastAsia="en-US"/>
      </w:rPr>
      <w:t>m</w:t>
    </w:r>
    <w:r w:rsidRPr="0031609A">
      <w:rPr>
        <w:rFonts w:ascii="Calibri" w:hAnsi="Calibri" w:cs="Calibri"/>
        <w:b/>
        <w:color w:val="2D5F91"/>
        <w:szCs w:val="24"/>
        <w:lang w:eastAsia="en-US"/>
      </w:rPr>
      <w:t>emo:</w:t>
    </w:r>
    <w:r>
      <w:rPr>
        <w:rFonts w:ascii="Calibri" w:hAnsi="Calibri" w:cs="Calibri"/>
        <w:b/>
        <w:color w:val="2D5F91"/>
        <w:szCs w:val="24"/>
        <w:lang w:eastAsia="en-US"/>
      </w:rPr>
      <w:t xml:space="preserve"> </w:t>
    </w:r>
    <w:r w:rsidR="004B61CE">
      <w:rPr>
        <w:rFonts w:ascii="Calibri" w:hAnsi="Calibri" w:cs="Calibri"/>
        <w:bCs/>
        <w:color w:val="2D5F91"/>
        <w:szCs w:val="24"/>
        <w:lang w:eastAsia="en-US"/>
      </w:rPr>
      <w:t>ebIX®</w:t>
    </w:r>
    <w:r w:rsidR="004B61CE" w:rsidRPr="00A51927">
      <w:rPr>
        <w:rFonts w:ascii="Calibri" w:hAnsi="Calibri" w:cs="Calibri"/>
        <w:bCs/>
        <w:color w:val="2D5F91"/>
        <w:szCs w:val="24"/>
        <w:lang w:eastAsia="en-US"/>
      </w:rPr>
      <w:t xml:space="preserve"> </w:t>
    </w:r>
    <w:r w:rsidRPr="00A51927">
      <w:rPr>
        <w:rFonts w:ascii="Calibri" w:hAnsi="Calibri" w:cs="Calibri"/>
        <w:bCs/>
        <w:color w:val="2D5F91"/>
        <w:szCs w:val="24"/>
        <w:lang w:eastAsia="en-US"/>
      </w:rPr>
      <w:t>comments to HEMRM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6"/>
      <w:gridCol w:w="5529"/>
    </w:tblGrid>
    <w:tr w:rsidR="002A41AC" w:rsidRPr="0031609A" w14:paraId="7665D0D2" w14:textId="77777777" w:rsidTr="00964227">
      <w:tc>
        <w:tcPr>
          <w:tcW w:w="4536" w:type="dxa"/>
          <w:tcBorders>
            <w:top w:val="single" w:sz="12" w:space="0" w:color="auto"/>
            <w:left w:val="single" w:sz="12" w:space="0" w:color="auto"/>
            <w:bottom w:val="single" w:sz="6" w:space="0" w:color="auto"/>
            <w:right w:val="single" w:sz="6" w:space="0" w:color="auto"/>
          </w:tcBorders>
        </w:tcPr>
        <w:p w14:paraId="5C9A0C1E" w14:textId="65B4EC07" w:rsidR="002A41AC" w:rsidRPr="0031609A" w:rsidRDefault="002A41AC" w:rsidP="002A41AC">
          <w:pPr>
            <w:tabs>
              <w:tab w:val="center" w:pos="4536"/>
              <w:tab w:val="right" w:pos="9072"/>
              <w:tab w:val="right" w:pos="9923"/>
            </w:tabs>
            <w:autoSpaceDE/>
            <w:autoSpaceDN/>
            <w:spacing w:before="60" w:after="0"/>
            <w:ind w:left="907" w:hanging="907"/>
            <w:rPr>
              <w:rFonts w:ascii="Calibri" w:hAnsi="Calibri" w:cs="Calibri"/>
              <w:bCs/>
              <w:snapToGrid w:val="0"/>
              <w:color w:val="000000"/>
              <w:szCs w:val="24"/>
              <w:lang w:eastAsia="en-US"/>
            </w:rPr>
          </w:pPr>
          <w:r w:rsidRPr="0031609A">
            <w:rPr>
              <w:rFonts w:ascii="Calibri" w:hAnsi="Calibri" w:cs="Calibri"/>
              <w:b/>
              <w:color w:val="2D5F91"/>
              <w:szCs w:val="24"/>
              <w:lang w:eastAsia="en-US"/>
            </w:rPr>
            <w:t>Memo:</w:t>
          </w:r>
          <w:r w:rsidRPr="0031609A">
            <w:rPr>
              <w:rFonts w:ascii="Calibri" w:hAnsi="Calibri" w:cs="Calibri"/>
              <w:b/>
              <w:szCs w:val="24"/>
              <w:lang w:eastAsia="en-US"/>
            </w:rPr>
            <w:t xml:space="preserve"> </w:t>
          </w:r>
          <w:r w:rsidRPr="0031609A">
            <w:rPr>
              <w:rFonts w:ascii="Calibri" w:hAnsi="Calibri" w:cs="Calibri"/>
              <w:b/>
              <w:szCs w:val="24"/>
              <w:lang w:eastAsia="en-US"/>
            </w:rPr>
            <w:tab/>
          </w:r>
          <w:r w:rsidR="004B61CE">
            <w:rPr>
              <w:rFonts w:ascii="Calibri" w:hAnsi="Calibri" w:cs="Calibri"/>
              <w:szCs w:val="24"/>
              <w:lang w:eastAsia="en-US"/>
            </w:rPr>
            <w:t>ebIX®</w:t>
          </w:r>
          <w:r w:rsidR="004B61CE" w:rsidRPr="0031609A">
            <w:rPr>
              <w:rFonts w:ascii="Calibri" w:hAnsi="Calibri" w:cs="Calibri"/>
              <w:szCs w:val="24"/>
              <w:lang w:eastAsia="en-US"/>
            </w:rPr>
            <w:t xml:space="preserve"> </w:t>
          </w:r>
          <w:r>
            <w:rPr>
              <w:rFonts w:ascii="Calibri" w:hAnsi="Calibri" w:cs="Calibri"/>
              <w:szCs w:val="24"/>
              <w:lang w:eastAsia="en-US"/>
            </w:rPr>
            <w:t>comments to HEMRM</w:t>
          </w:r>
        </w:p>
        <w:p w14:paraId="1CCFC78C" w14:textId="7EF253AA" w:rsidR="002A41AC" w:rsidRPr="0031609A" w:rsidRDefault="002A41AC" w:rsidP="002A41AC">
          <w:pPr>
            <w:tabs>
              <w:tab w:val="center" w:pos="4536"/>
              <w:tab w:val="right" w:pos="9072"/>
              <w:tab w:val="right" w:pos="9923"/>
            </w:tabs>
            <w:autoSpaceDE/>
            <w:autoSpaceDN/>
            <w:spacing w:after="60"/>
            <w:ind w:left="907" w:hanging="907"/>
            <w:rPr>
              <w:color w:val="FF0000"/>
            </w:rPr>
          </w:pPr>
        </w:p>
      </w:tc>
      <w:tc>
        <w:tcPr>
          <w:tcW w:w="5529" w:type="dxa"/>
          <w:tcBorders>
            <w:top w:val="single" w:sz="12" w:space="0" w:color="auto"/>
            <w:left w:val="single" w:sz="12" w:space="0" w:color="auto"/>
            <w:bottom w:val="single" w:sz="6" w:space="0" w:color="auto"/>
            <w:right w:val="single" w:sz="12" w:space="0" w:color="auto"/>
          </w:tcBorders>
          <w:vAlign w:val="center"/>
        </w:tcPr>
        <w:p w14:paraId="6A2707DE" w14:textId="77777777" w:rsidR="002A41AC" w:rsidRPr="0031609A" w:rsidRDefault="002A41AC" w:rsidP="002A41AC">
          <w:pPr>
            <w:pStyle w:val="Header"/>
            <w:spacing w:before="60" w:after="60"/>
          </w:pPr>
          <w:r w:rsidRPr="0031609A">
            <w:rPr>
              <w:b/>
              <w:noProof/>
              <w:color w:val="C00000"/>
              <w:lang w:eastAsia="en-GB"/>
            </w:rPr>
            <w:drawing>
              <wp:anchor distT="0" distB="0" distL="114300" distR="114300" simplePos="0" relativeHeight="251661312" behindDoc="0" locked="0" layoutInCell="1" allowOverlap="1" wp14:anchorId="6AA08B31" wp14:editId="2C08D834">
                <wp:simplePos x="0" y="0"/>
                <wp:positionH relativeFrom="column">
                  <wp:posOffset>-833755</wp:posOffset>
                </wp:positionH>
                <wp:positionV relativeFrom="paragraph">
                  <wp:posOffset>15875</wp:posOffset>
                </wp:positionV>
                <wp:extent cx="733425" cy="381000"/>
                <wp:effectExtent l="0" t="0" r="9525" b="0"/>
                <wp:wrapTight wrapText="bothSides">
                  <wp:wrapPolygon edited="0">
                    <wp:start x="0" y="0"/>
                    <wp:lineTo x="0" y="20520"/>
                    <wp:lineTo x="21319" y="20520"/>
                    <wp:lineTo x="21319" y="0"/>
                    <wp:lineTo x="0" y="0"/>
                  </wp:wrapPolygon>
                </wp:wrapTight>
                <wp:docPr id="6" name="Picture 6" descr="logo_ebix_def!+witer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bix_def!+witer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09A">
            <w:rPr>
              <w:b/>
              <w:color w:val="C00000"/>
            </w:rPr>
            <w:t>E</w:t>
          </w:r>
          <w:r w:rsidRPr="0031609A">
            <w:t xml:space="preserve">uropean forum for energy </w:t>
          </w:r>
          <w:r>
            <w:br/>
          </w:r>
          <w:r w:rsidRPr="0031609A">
            <w:rPr>
              <w:b/>
              <w:color w:val="C00000"/>
            </w:rPr>
            <w:t>B</w:t>
          </w:r>
          <w:r w:rsidRPr="0031609A">
            <w:t xml:space="preserve">usiness </w:t>
          </w:r>
          <w:r w:rsidRPr="0031609A">
            <w:rPr>
              <w:b/>
              <w:color w:val="C00000"/>
            </w:rPr>
            <w:t>I</w:t>
          </w:r>
          <w:r w:rsidRPr="0031609A">
            <w:t>nformation e</w:t>
          </w:r>
          <w:r w:rsidRPr="0031609A">
            <w:rPr>
              <w:b/>
              <w:color w:val="C00000"/>
            </w:rPr>
            <w:t>X</w:t>
          </w:r>
          <w:r w:rsidRPr="0031609A">
            <w:t>change</w:t>
          </w:r>
        </w:p>
      </w:tc>
    </w:tr>
    <w:tr w:rsidR="002A41AC" w:rsidRPr="0031609A" w14:paraId="641D8D5D" w14:textId="77777777" w:rsidTr="00964227">
      <w:tc>
        <w:tcPr>
          <w:tcW w:w="4536" w:type="dxa"/>
          <w:tcBorders>
            <w:top w:val="single" w:sz="6" w:space="0" w:color="auto"/>
            <w:left w:val="single" w:sz="12" w:space="0" w:color="auto"/>
            <w:bottom w:val="single" w:sz="12" w:space="0" w:color="auto"/>
            <w:right w:val="single" w:sz="6" w:space="0" w:color="auto"/>
          </w:tcBorders>
        </w:tcPr>
        <w:p w14:paraId="3B090E30" w14:textId="2FA8C3BC" w:rsidR="002A41AC" w:rsidRPr="0031609A" w:rsidRDefault="00722769" w:rsidP="002A41AC">
          <w:pPr>
            <w:tabs>
              <w:tab w:val="center" w:pos="4536"/>
              <w:tab w:val="right" w:pos="9072"/>
              <w:tab w:val="right" w:pos="9923"/>
            </w:tabs>
            <w:autoSpaceDE/>
            <w:autoSpaceDN/>
            <w:spacing w:before="60" w:after="0"/>
            <w:ind w:left="907" w:hanging="907"/>
          </w:pPr>
          <w:r w:rsidRPr="0031609A">
            <w:rPr>
              <w:rFonts w:ascii="Calibri" w:hAnsi="Calibri" w:cs="Calibri"/>
              <w:b/>
              <w:color w:val="2D5F91"/>
              <w:szCs w:val="24"/>
              <w:lang w:eastAsia="en-US"/>
            </w:rPr>
            <w:t>Date:</w:t>
          </w:r>
          <w:r w:rsidRPr="0031609A">
            <w:rPr>
              <w:rFonts w:ascii="Calibri" w:hAnsi="Calibri" w:cs="Calibri"/>
              <w:szCs w:val="24"/>
              <w:lang w:eastAsia="en-US"/>
            </w:rPr>
            <w:tab/>
          </w:r>
          <w:r>
            <w:rPr>
              <w:rFonts w:ascii="Calibri" w:hAnsi="Calibri" w:cs="Calibri"/>
              <w:szCs w:val="24"/>
              <w:lang w:eastAsia="en-US"/>
            </w:rPr>
            <w:t>June 12</w:t>
          </w:r>
          <w:r w:rsidRPr="00B453C8">
            <w:rPr>
              <w:rFonts w:ascii="Calibri" w:hAnsi="Calibri" w:cs="Calibri"/>
              <w:szCs w:val="24"/>
              <w:vertAlign w:val="superscript"/>
              <w:lang w:eastAsia="en-US"/>
            </w:rPr>
            <w:t>th</w:t>
          </w:r>
          <w:r>
            <w:rPr>
              <w:rFonts w:ascii="Calibri" w:hAnsi="Calibri" w:cs="Calibri"/>
              <w:szCs w:val="24"/>
              <w:lang w:eastAsia="en-US"/>
            </w:rPr>
            <w:t>,2023</w:t>
          </w:r>
        </w:p>
      </w:tc>
      <w:tc>
        <w:tcPr>
          <w:tcW w:w="5529" w:type="dxa"/>
          <w:tcBorders>
            <w:top w:val="single" w:sz="6" w:space="0" w:color="auto"/>
            <w:left w:val="single" w:sz="12" w:space="0" w:color="auto"/>
            <w:bottom w:val="single" w:sz="12" w:space="0" w:color="auto"/>
            <w:right w:val="single" w:sz="12" w:space="0" w:color="auto"/>
          </w:tcBorders>
        </w:tcPr>
        <w:p w14:paraId="657211B1" w14:textId="3D57264A" w:rsidR="002A41AC" w:rsidRPr="0031609A" w:rsidRDefault="002A41AC" w:rsidP="002A41AC">
          <w:pPr>
            <w:pStyle w:val="Header"/>
            <w:spacing w:before="60" w:after="60"/>
            <w:ind w:left="585" w:hanging="585"/>
            <w:rPr>
              <w:b/>
            </w:rPr>
          </w:pPr>
        </w:p>
      </w:tc>
    </w:tr>
  </w:tbl>
  <w:p w14:paraId="5CC50F5C" w14:textId="77777777" w:rsidR="002A41AC" w:rsidRDefault="002A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266FC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074"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60B07"/>
    <w:multiLevelType w:val="hybridMultilevel"/>
    <w:tmpl w:val="7C74E672"/>
    <w:lvl w:ilvl="0" w:tplc="1C94C57E">
      <w:start w:val="1"/>
      <w:numFmt w:val="decimal"/>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2845"/>
    <w:multiLevelType w:val="multilevel"/>
    <w:tmpl w:val="D584A3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 w15:restartNumberingAfterBreak="0">
    <w:nsid w:val="077C4856"/>
    <w:multiLevelType w:val="hybridMultilevel"/>
    <w:tmpl w:val="8D3E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05930"/>
    <w:multiLevelType w:val="hybridMultilevel"/>
    <w:tmpl w:val="5282C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4DDF"/>
    <w:multiLevelType w:val="hybridMultilevel"/>
    <w:tmpl w:val="77EE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F7828"/>
    <w:multiLevelType w:val="hybridMultilevel"/>
    <w:tmpl w:val="CA387A24"/>
    <w:lvl w:ilvl="0" w:tplc="2D6E4EB6">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4661CD"/>
    <w:multiLevelType w:val="hybridMultilevel"/>
    <w:tmpl w:val="68421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BE7"/>
    <w:multiLevelType w:val="multilevel"/>
    <w:tmpl w:val="4E127D8A"/>
    <w:lvl w:ilvl="0">
      <w:start w:val="1"/>
      <w:numFmt w:val="decimal"/>
      <w:pStyle w:val="ListBullet3"/>
      <w:isLgl/>
      <w:lvlText w:val="%1"/>
      <w:lvlJc w:val="left"/>
      <w:pPr>
        <w:tabs>
          <w:tab w:val="num" w:pos="360"/>
        </w:tabs>
        <w:ind w:left="227" w:hanging="227"/>
      </w:pPr>
      <w:rPr>
        <w:rFonts w:hint="default"/>
      </w:rPr>
    </w:lvl>
    <w:lvl w:ilvl="1">
      <w:start w:val="1"/>
      <w:numFmt w:val="decimal"/>
      <w:isLgl/>
      <w:lvlText w:val="%1.%2"/>
      <w:lvlJc w:val="left"/>
      <w:pPr>
        <w:tabs>
          <w:tab w:val="num" w:pos="576"/>
        </w:tabs>
        <w:ind w:left="576" w:hanging="576"/>
      </w:pPr>
      <w:rPr>
        <w:rFonts w:hint="default"/>
        <w:b w:val="0"/>
        <w:bCs/>
        <w:i/>
        <w:iCs w:val="0"/>
        <w:color w:val="auto"/>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23410E7"/>
    <w:multiLevelType w:val="hybridMultilevel"/>
    <w:tmpl w:val="9BB01AEE"/>
    <w:lvl w:ilvl="0" w:tplc="D200E3E2">
      <w:start w:val="1"/>
      <w:numFmt w:val="upperLetter"/>
      <w:lvlText w:val="%1)"/>
      <w:lvlJc w:val="left"/>
      <w:pPr>
        <w:tabs>
          <w:tab w:val="num" w:pos="360"/>
        </w:tabs>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548118F"/>
    <w:multiLevelType w:val="hybridMultilevel"/>
    <w:tmpl w:val="94CCDEE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647A7"/>
    <w:multiLevelType w:val="hybridMultilevel"/>
    <w:tmpl w:val="CA387A24"/>
    <w:lvl w:ilvl="0" w:tplc="2D6E4EB6">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2973A2"/>
    <w:multiLevelType w:val="hybridMultilevel"/>
    <w:tmpl w:val="3DC4F3B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3B3418"/>
    <w:multiLevelType w:val="singleLevel"/>
    <w:tmpl w:val="08090001"/>
    <w:lvl w:ilvl="0">
      <w:start w:val="1"/>
      <w:numFmt w:val="bullet"/>
      <w:pStyle w:val="Heading2B"/>
      <w:lvlText w:val=""/>
      <w:lvlJc w:val="left"/>
      <w:pPr>
        <w:tabs>
          <w:tab w:val="num" w:pos="360"/>
        </w:tabs>
        <w:ind w:left="360" w:hanging="360"/>
      </w:pPr>
      <w:rPr>
        <w:rFonts w:ascii="Symbol" w:hAnsi="Symbol" w:cs="Times New Roman" w:hint="default"/>
      </w:rPr>
    </w:lvl>
  </w:abstractNum>
  <w:abstractNum w:abstractNumId="14" w15:restartNumberingAfterBreak="0">
    <w:nsid w:val="255D124A"/>
    <w:multiLevelType w:val="hybridMultilevel"/>
    <w:tmpl w:val="B854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25D44"/>
    <w:multiLevelType w:val="multilevel"/>
    <w:tmpl w:val="E5626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0D224C"/>
    <w:multiLevelType w:val="hybridMultilevel"/>
    <w:tmpl w:val="EDA0B65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16009"/>
    <w:multiLevelType w:val="multilevel"/>
    <w:tmpl w:val="EE16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A52F7A"/>
    <w:multiLevelType w:val="hybridMultilevel"/>
    <w:tmpl w:val="448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10A5E"/>
    <w:multiLevelType w:val="hybridMultilevel"/>
    <w:tmpl w:val="13C4B0C8"/>
    <w:lvl w:ilvl="0" w:tplc="B296D7B6">
      <w:start w:val="1"/>
      <w:numFmt w:val="decimal"/>
      <w:pStyle w:val="ListParagraph"/>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06D388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1962C65"/>
    <w:multiLevelType w:val="hybridMultilevel"/>
    <w:tmpl w:val="3BDC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1645A"/>
    <w:multiLevelType w:val="multilevel"/>
    <w:tmpl w:val="CD04AC9A"/>
    <w:lvl w:ilvl="0">
      <w:start w:val="1"/>
      <w:numFmt w:val="decimal"/>
      <w:lvlText w:val="%1"/>
      <w:lvlJc w:val="left"/>
      <w:pPr>
        <w:ind w:left="432" w:hanging="432"/>
      </w:pPr>
      <w:rPr>
        <w:rFonts w:hint="default"/>
        <w:b/>
        <w:i w:val="0"/>
        <w:strike w:val="0"/>
        <w:dstrike w:val="0"/>
        <w:vanish w:val="0"/>
        <w:color w:val="365F9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color w:val="365F91"/>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84C1F55"/>
    <w:multiLevelType w:val="hybridMultilevel"/>
    <w:tmpl w:val="512EC5F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ED4609"/>
    <w:multiLevelType w:val="multilevel"/>
    <w:tmpl w:val="01B0359C"/>
    <w:lvl w:ilvl="0">
      <w:start w:val="1"/>
      <w:numFmt w:val="decimal"/>
      <w:pStyle w:val="Appendix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65620E"/>
    <w:multiLevelType w:val="hybridMultilevel"/>
    <w:tmpl w:val="3DC4F3B0"/>
    <w:lvl w:ilvl="0" w:tplc="44865004">
      <w:start w:val="1"/>
      <w:numFmt w:val="lowerLetter"/>
      <w:lvlText w:val="%1)"/>
      <w:lvlJc w:val="left"/>
      <w:pPr>
        <w:ind w:left="-1088" w:hanging="360"/>
      </w:pPr>
      <w:rPr>
        <w:b w:val="0"/>
        <w:bCs w:val="0"/>
      </w:rPr>
    </w:lvl>
    <w:lvl w:ilvl="1" w:tplc="08090019" w:tentative="1">
      <w:start w:val="1"/>
      <w:numFmt w:val="lowerLetter"/>
      <w:lvlText w:val="%2."/>
      <w:lvlJc w:val="left"/>
      <w:pPr>
        <w:ind w:left="-368" w:hanging="360"/>
      </w:pPr>
    </w:lvl>
    <w:lvl w:ilvl="2" w:tplc="0809001B" w:tentative="1">
      <w:start w:val="1"/>
      <w:numFmt w:val="lowerRoman"/>
      <w:lvlText w:val="%3."/>
      <w:lvlJc w:val="right"/>
      <w:pPr>
        <w:ind w:left="352" w:hanging="180"/>
      </w:pPr>
    </w:lvl>
    <w:lvl w:ilvl="3" w:tplc="0809000F" w:tentative="1">
      <w:start w:val="1"/>
      <w:numFmt w:val="decimal"/>
      <w:lvlText w:val="%4."/>
      <w:lvlJc w:val="left"/>
      <w:pPr>
        <w:ind w:left="1072" w:hanging="360"/>
      </w:pPr>
    </w:lvl>
    <w:lvl w:ilvl="4" w:tplc="08090019" w:tentative="1">
      <w:start w:val="1"/>
      <w:numFmt w:val="lowerLetter"/>
      <w:lvlText w:val="%5."/>
      <w:lvlJc w:val="left"/>
      <w:pPr>
        <w:ind w:left="1792" w:hanging="360"/>
      </w:pPr>
    </w:lvl>
    <w:lvl w:ilvl="5" w:tplc="0809001B" w:tentative="1">
      <w:start w:val="1"/>
      <w:numFmt w:val="lowerRoman"/>
      <w:lvlText w:val="%6."/>
      <w:lvlJc w:val="right"/>
      <w:pPr>
        <w:ind w:left="2512" w:hanging="180"/>
      </w:pPr>
    </w:lvl>
    <w:lvl w:ilvl="6" w:tplc="0809000F" w:tentative="1">
      <w:start w:val="1"/>
      <w:numFmt w:val="decimal"/>
      <w:lvlText w:val="%7."/>
      <w:lvlJc w:val="left"/>
      <w:pPr>
        <w:ind w:left="3232" w:hanging="360"/>
      </w:pPr>
    </w:lvl>
    <w:lvl w:ilvl="7" w:tplc="08090019" w:tentative="1">
      <w:start w:val="1"/>
      <w:numFmt w:val="lowerLetter"/>
      <w:lvlText w:val="%8."/>
      <w:lvlJc w:val="left"/>
      <w:pPr>
        <w:ind w:left="3952" w:hanging="360"/>
      </w:pPr>
    </w:lvl>
    <w:lvl w:ilvl="8" w:tplc="0809001B" w:tentative="1">
      <w:start w:val="1"/>
      <w:numFmt w:val="lowerRoman"/>
      <w:lvlText w:val="%9."/>
      <w:lvlJc w:val="right"/>
      <w:pPr>
        <w:ind w:left="4672" w:hanging="180"/>
      </w:pPr>
    </w:lvl>
  </w:abstractNum>
  <w:abstractNum w:abstractNumId="26" w15:restartNumberingAfterBreak="0">
    <w:nsid w:val="67C375A7"/>
    <w:multiLevelType w:val="hybridMultilevel"/>
    <w:tmpl w:val="9B964590"/>
    <w:lvl w:ilvl="0" w:tplc="127EED6A">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85E0A"/>
    <w:multiLevelType w:val="hybridMultilevel"/>
    <w:tmpl w:val="B3D0E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50E63"/>
    <w:multiLevelType w:val="multilevel"/>
    <w:tmpl w:val="5EDA4EBC"/>
    <w:lvl w:ilvl="0">
      <w:start w:val="1"/>
      <w:numFmt w:val="decimal"/>
      <w:pStyle w:val="Heading1"/>
      <w:lvlText w:val="%1"/>
      <w:lvlJc w:val="left"/>
      <w:pPr>
        <w:ind w:left="432" w:hanging="432"/>
      </w:pPr>
    </w:lvl>
    <w:lvl w:ilvl="1">
      <w:start w:val="1"/>
      <w:numFmt w:val="decimal"/>
      <w:pStyle w:val="Appendix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53314394">
    <w:abstractNumId w:val="1"/>
  </w:num>
  <w:num w:numId="2" w16cid:durableId="653219972">
    <w:abstractNumId w:val="24"/>
  </w:num>
  <w:num w:numId="3" w16cid:durableId="189606140">
    <w:abstractNumId w:val="19"/>
  </w:num>
  <w:num w:numId="4" w16cid:durableId="362561321">
    <w:abstractNumId w:val="19"/>
  </w:num>
  <w:num w:numId="5" w16cid:durableId="1290086711">
    <w:abstractNumId w:val="19"/>
  </w:num>
  <w:num w:numId="6" w16cid:durableId="2008825466">
    <w:abstractNumId w:val="19"/>
  </w:num>
  <w:num w:numId="7" w16cid:durableId="1584098099">
    <w:abstractNumId w:val="22"/>
  </w:num>
  <w:num w:numId="8" w16cid:durableId="1123616938">
    <w:abstractNumId w:val="2"/>
  </w:num>
  <w:num w:numId="9" w16cid:durableId="1931114007">
    <w:abstractNumId w:val="15"/>
  </w:num>
  <w:num w:numId="10" w16cid:durableId="685133346">
    <w:abstractNumId w:val="28"/>
  </w:num>
  <w:num w:numId="11" w16cid:durableId="1384018385">
    <w:abstractNumId w:val="0"/>
  </w:num>
  <w:num w:numId="12" w16cid:durableId="1464618210">
    <w:abstractNumId w:val="13"/>
  </w:num>
  <w:num w:numId="13" w16cid:durableId="790630505">
    <w:abstractNumId w:val="8"/>
  </w:num>
  <w:num w:numId="14" w16cid:durableId="1106194158">
    <w:abstractNumId w:val="9"/>
  </w:num>
  <w:num w:numId="15" w16cid:durableId="222526669">
    <w:abstractNumId w:val="6"/>
  </w:num>
  <w:num w:numId="16" w16cid:durableId="144974021">
    <w:abstractNumId w:val="3"/>
  </w:num>
  <w:num w:numId="17" w16cid:durableId="1618296052">
    <w:abstractNumId w:val="7"/>
  </w:num>
  <w:num w:numId="18" w16cid:durableId="547646263">
    <w:abstractNumId w:val="11"/>
  </w:num>
  <w:num w:numId="19" w16cid:durableId="1643270504">
    <w:abstractNumId w:val="26"/>
  </w:num>
  <w:num w:numId="20" w16cid:durableId="1404178233">
    <w:abstractNumId w:val="20"/>
  </w:num>
  <w:num w:numId="21" w16cid:durableId="1075513300">
    <w:abstractNumId w:val="4"/>
  </w:num>
  <w:num w:numId="22" w16cid:durableId="5138538">
    <w:abstractNumId w:val="18"/>
  </w:num>
  <w:num w:numId="23" w16cid:durableId="1936202614">
    <w:abstractNumId w:val="14"/>
  </w:num>
  <w:num w:numId="24" w16cid:durableId="1019088391">
    <w:abstractNumId w:val="27"/>
  </w:num>
  <w:num w:numId="25" w16cid:durableId="1639726590">
    <w:abstractNumId w:val="12"/>
  </w:num>
  <w:num w:numId="26" w16cid:durableId="142893835">
    <w:abstractNumId w:val="25"/>
  </w:num>
  <w:num w:numId="27" w16cid:durableId="1910581033">
    <w:abstractNumId w:val="23"/>
  </w:num>
  <w:num w:numId="28" w16cid:durableId="356152432">
    <w:abstractNumId w:val="2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737432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5188777">
    <w:abstractNumId w:val="21"/>
  </w:num>
  <w:num w:numId="31" w16cid:durableId="958223107">
    <w:abstractNumId w:val="17"/>
  </w:num>
  <w:num w:numId="32" w16cid:durableId="13818972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3632973">
    <w:abstractNumId w:val="10"/>
  </w:num>
  <w:num w:numId="34" w16cid:durableId="1114521990">
    <w:abstractNumId w:val="5"/>
  </w:num>
  <w:num w:numId="35" w16cid:durableId="686096939">
    <w:abstractNumId w:val="19"/>
  </w:num>
  <w:num w:numId="36" w16cid:durableId="414859958">
    <w:abstractNumId w:val="19"/>
  </w:num>
  <w:num w:numId="37" w16cid:durableId="1978144594">
    <w:abstractNumId w:val="19"/>
  </w:num>
  <w:num w:numId="38" w16cid:durableId="198589853">
    <w:abstractNumId w:val="19"/>
  </w:num>
  <w:num w:numId="39" w16cid:durableId="1006009484">
    <w:abstractNumId w:val="16"/>
  </w:num>
  <w:num w:numId="40" w16cid:durableId="658580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AC"/>
    <w:rsid w:val="00051040"/>
    <w:rsid w:val="000A297D"/>
    <w:rsid w:val="000D19A7"/>
    <w:rsid w:val="000E1A29"/>
    <w:rsid w:val="0011789F"/>
    <w:rsid w:val="00133189"/>
    <w:rsid w:val="00163242"/>
    <w:rsid w:val="00202308"/>
    <w:rsid w:val="002A41AC"/>
    <w:rsid w:val="002D55BC"/>
    <w:rsid w:val="00312451"/>
    <w:rsid w:val="00391E58"/>
    <w:rsid w:val="00392433"/>
    <w:rsid w:val="003E77A2"/>
    <w:rsid w:val="00424624"/>
    <w:rsid w:val="0048303B"/>
    <w:rsid w:val="004B5672"/>
    <w:rsid w:val="004B61CE"/>
    <w:rsid w:val="004C3E2A"/>
    <w:rsid w:val="004E01D9"/>
    <w:rsid w:val="00522E1E"/>
    <w:rsid w:val="00595E9C"/>
    <w:rsid w:val="005F2ED5"/>
    <w:rsid w:val="00636BB7"/>
    <w:rsid w:val="0066750A"/>
    <w:rsid w:val="006945FD"/>
    <w:rsid w:val="006B2E0B"/>
    <w:rsid w:val="006D3E47"/>
    <w:rsid w:val="006F5A59"/>
    <w:rsid w:val="0071795C"/>
    <w:rsid w:val="00722769"/>
    <w:rsid w:val="0073724E"/>
    <w:rsid w:val="00744488"/>
    <w:rsid w:val="007714CB"/>
    <w:rsid w:val="007961C7"/>
    <w:rsid w:val="007A58FE"/>
    <w:rsid w:val="007C1385"/>
    <w:rsid w:val="008A78A9"/>
    <w:rsid w:val="008F2E80"/>
    <w:rsid w:val="0092250F"/>
    <w:rsid w:val="009738D8"/>
    <w:rsid w:val="00977A87"/>
    <w:rsid w:val="0098488F"/>
    <w:rsid w:val="009B5D0E"/>
    <w:rsid w:val="009B73C2"/>
    <w:rsid w:val="00A2716A"/>
    <w:rsid w:val="00A51927"/>
    <w:rsid w:val="00AD1B95"/>
    <w:rsid w:val="00B43A11"/>
    <w:rsid w:val="00B453C8"/>
    <w:rsid w:val="00B6579F"/>
    <w:rsid w:val="00BB3D20"/>
    <w:rsid w:val="00C36E3C"/>
    <w:rsid w:val="00C466FF"/>
    <w:rsid w:val="00C532C1"/>
    <w:rsid w:val="00CA15E0"/>
    <w:rsid w:val="00CB1067"/>
    <w:rsid w:val="00E06FE1"/>
    <w:rsid w:val="00E13EBA"/>
    <w:rsid w:val="00E170C4"/>
    <w:rsid w:val="00E43C8A"/>
    <w:rsid w:val="00E5283A"/>
    <w:rsid w:val="00E61D5C"/>
    <w:rsid w:val="00E715FE"/>
    <w:rsid w:val="00E7362A"/>
    <w:rsid w:val="00E84BDB"/>
    <w:rsid w:val="00E85AE3"/>
    <w:rsid w:val="00E93027"/>
    <w:rsid w:val="00EE5C61"/>
    <w:rsid w:val="00F52707"/>
    <w:rsid w:val="00F600E4"/>
    <w:rsid w:val="00F63216"/>
    <w:rsid w:val="00F66237"/>
    <w:rsid w:val="00FA205C"/>
    <w:rsid w:val="00FA3B02"/>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DEE43"/>
  <w15:chartTrackingRefBased/>
  <w15:docId w15:val="{4B24051F-68B3-4CD0-B371-72A88341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2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AC"/>
    <w:pPr>
      <w:autoSpaceDE w:val="0"/>
      <w:autoSpaceDN w:val="0"/>
      <w:ind w:left="0" w:firstLine="0"/>
    </w:pPr>
    <w:rPr>
      <w:rFonts w:cs="Times New Roman"/>
      <w:lang w:val="en-GB" w:eastAsia="nb-NO"/>
    </w:rPr>
  </w:style>
  <w:style w:type="paragraph" w:styleId="Heading1">
    <w:name w:val="heading 1"/>
    <w:basedOn w:val="Normal"/>
    <w:next w:val="Normal"/>
    <w:link w:val="Heading1Char"/>
    <w:uiPriority w:val="9"/>
    <w:qFormat/>
    <w:rsid w:val="002A41AC"/>
    <w:pPr>
      <w:keepNext/>
      <w:keepLines/>
      <w:numPr>
        <w:numId w:val="10"/>
      </w:numPr>
      <w:spacing w:before="120" w:after="0"/>
      <w:outlineLvl w:val="0"/>
    </w:pPr>
    <w:rPr>
      <w:rFonts w:ascii="Calibri" w:eastAsiaTheme="majorEastAsia" w:hAnsi="Calibri" w:cstheme="majorBidi"/>
      <w:b/>
      <w:bCs/>
      <w:snapToGrid w:val="0"/>
      <w:color w:val="2F5496" w:themeColor="accent1" w:themeShade="BF"/>
      <w:sz w:val="28"/>
      <w:szCs w:val="28"/>
      <w:lang w:eastAsia="en-US"/>
    </w:rPr>
  </w:style>
  <w:style w:type="paragraph" w:styleId="Heading2">
    <w:name w:val="heading 2"/>
    <w:basedOn w:val="Heading1"/>
    <w:next w:val="Normal"/>
    <w:link w:val="Heading2Char"/>
    <w:autoRedefine/>
    <w:uiPriority w:val="9"/>
    <w:qFormat/>
    <w:rsid w:val="002A41AC"/>
    <w:pPr>
      <w:numPr>
        <w:ilvl w:val="1"/>
        <w:numId w:val="7"/>
      </w:numPr>
      <w:spacing w:before="240" w:after="120" w:line="276" w:lineRule="auto"/>
      <w:outlineLvl w:val="1"/>
    </w:pPr>
    <w:rPr>
      <w:rFonts w:asciiTheme="minorHAnsi" w:eastAsia="Times New Roman" w:hAnsiTheme="minorHAnsi" w:cs="Calibri"/>
      <w:color w:val="365F91"/>
      <w:sz w:val="24"/>
      <w:szCs w:val="24"/>
      <w:lang w:bidi="en-US"/>
    </w:rPr>
  </w:style>
  <w:style w:type="paragraph" w:styleId="Heading3">
    <w:name w:val="heading 3"/>
    <w:aliases w:val="numbered,H3,H31,H34,H35,H36,H311,H341,H351"/>
    <w:basedOn w:val="Normal"/>
    <w:next w:val="Normal"/>
    <w:link w:val="Heading3Char"/>
    <w:autoRedefine/>
    <w:uiPriority w:val="9"/>
    <w:unhideWhenUsed/>
    <w:qFormat/>
    <w:rsid w:val="0048303B"/>
    <w:pPr>
      <w:keepNext/>
      <w:keepLines/>
      <w:numPr>
        <w:ilvl w:val="2"/>
        <w:numId w:val="11"/>
      </w:numPr>
      <w:spacing w:before="200" w:after="0" w:line="276" w:lineRule="auto"/>
      <w:outlineLvl w:val="2"/>
    </w:pPr>
    <w:rPr>
      <w:rFonts w:ascii="Cambria" w:hAnsi="Cambria"/>
      <w:b/>
      <w:bCs/>
      <w:snapToGrid w:val="0"/>
      <w:color w:val="4F81BD"/>
      <w:lang w:val="en-US" w:eastAsia="en-US"/>
    </w:rPr>
  </w:style>
  <w:style w:type="paragraph" w:styleId="Heading4">
    <w:name w:val="heading 4"/>
    <w:basedOn w:val="Heading3"/>
    <w:next w:val="Normal"/>
    <w:link w:val="Heading4Char"/>
    <w:autoRedefine/>
    <w:uiPriority w:val="9"/>
    <w:qFormat/>
    <w:rsid w:val="00051040"/>
    <w:pPr>
      <w:keepLines w:val="0"/>
      <w:numPr>
        <w:ilvl w:val="3"/>
      </w:numPr>
      <w:spacing w:before="240" w:after="60" w:line="240" w:lineRule="auto"/>
      <w:outlineLvl w:val="3"/>
    </w:pPr>
    <w:rPr>
      <w:rFonts w:ascii="Calibri" w:hAnsi="Calibri"/>
      <w:b w:val="0"/>
      <w:color w:val="365F91"/>
      <w:lang w:val="en-GB" w:eastAsia="nb-NO"/>
    </w:rPr>
  </w:style>
  <w:style w:type="paragraph" w:styleId="Heading5">
    <w:name w:val="heading 5"/>
    <w:basedOn w:val="Heading4"/>
    <w:next w:val="Normal"/>
    <w:link w:val="Heading5Char"/>
    <w:autoRedefine/>
    <w:uiPriority w:val="9"/>
    <w:qFormat/>
    <w:rsid w:val="00EE5C61"/>
    <w:pPr>
      <w:numPr>
        <w:ilvl w:val="4"/>
      </w:numPr>
      <w:tabs>
        <w:tab w:val="num" w:pos="1304"/>
      </w:tabs>
      <w:suppressAutoHyphens/>
      <w:snapToGrid w:val="0"/>
      <w:spacing w:before="100" w:after="100"/>
      <w:outlineLvl w:val="4"/>
    </w:pPr>
    <w:rPr>
      <w:rFonts w:ascii="Arial" w:hAnsi="Arial" w:cstheme="minorBidi"/>
      <w:b/>
      <w:bCs w:val="0"/>
      <w:i/>
      <w:iCs/>
      <w:snapToGrid/>
      <w:color w:val="auto"/>
      <w:spacing w:val="8"/>
      <w:lang w:val="en-US" w:eastAsia="zh-CN"/>
    </w:rPr>
  </w:style>
  <w:style w:type="paragraph" w:styleId="Heading6">
    <w:name w:val="heading 6"/>
    <w:basedOn w:val="Normal"/>
    <w:next w:val="Normal"/>
    <w:link w:val="Heading6Char"/>
    <w:uiPriority w:val="9"/>
    <w:qFormat/>
    <w:rsid w:val="002A41AC"/>
    <w:pPr>
      <w:spacing w:before="240" w:after="60"/>
      <w:ind w:left="1152" w:hanging="1152"/>
      <w:outlineLvl w:val="5"/>
    </w:pPr>
    <w:rPr>
      <w:i/>
      <w:iCs/>
    </w:rPr>
  </w:style>
  <w:style w:type="paragraph" w:styleId="Heading7">
    <w:name w:val="heading 7"/>
    <w:basedOn w:val="Normal"/>
    <w:next w:val="Normal"/>
    <w:link w:val="Heading7Char"/>
    <w:uiPriority w:val="9"/>
    <w:qFormat/>
    <w:rsid w:val="002A41AC"/>
    <w:pPr>
      <w:spacing w:before="240" w:after="60"/>
      <w:ind w:left="1296" w:hanging="1296"/>
      <w:outlineLvl w:val="6"/>
    </w:pPr>
    <w:rPr>
      <w:sz w:val="20"/>
      <w:szCs w:val="20"/>
    </w:rPr>
  </w:style>
  <w:style w:type="paragraph" w:styleId="Heading8">
    <w:name w:val="heading 8"/>
    <w:basedOn w:val="Normal"/>
    <w:next w:val="Normal"/>
    <w:link w:val="Heading8Char"/>
    <w:uiPriority w:val="9"/>
    <w:qFormat/>
    <w:rsid w:val="002A41AC"/>
    <w:pPr>
      <w:spacing w:before="240" w:after="60"/>
      <w:ind w:left="1440" w:hanging="1440"/>
      <w:outlineLvl w:val="7"/>
    </w:pPr>
    <w:rPr>
      <w:i/>
      <w:iCs/>
      <w:sz w:val="20"/>
      <w:szCs w:val="20"/>
    </w:rPr>
  </w:style>
  <w:style w:type="paragraph" w:styleId="Heading9">
    <w:name w:val="heading 9"/>
    <w:aliases w:val="(App. Title)"/>
    <w:basedOn w:val="Normal"/>
    <w:next w:val="Normal"/>
    <w:link w:val="Heading9Char"/>
    <w:uiPriority w:val="9"/>
    <w:qFormat/>
    <w:rsid w:val="002A41AC"/>
    <w:pPr>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3">
    <w:name w:val="Appendix 3"/>
    <w:basedOn w:val="Normal"/>
    <w:link w:val="Appendix3Char"/>
    <w:qFormat/>
    <w:rsid w:val="00744488"/>
    <w:pPr>
      <w:numPr>
        <w:numId w:val="2"/>
      </w:numPr>
      <w:ind w:left="714" w:hanging="357"/>
      <w:outlineLvl w:val="2"/>
    </w:pPr>
    <w:rPr>
      <w:rFonts w:cstheme="minorHAnsi"/>
      <w:noProof/>
      <w:snapToGrid w:val="0"/>
      <w:color w:val="365F91"/>
      <w:sz w:val="24"/>
      <w:szCs w:val="24"/>
      <w:u w:val="single"/>
    </w:rPr>
  </w:style>
  <w:style w:type="character" w:customStyle="1" w:styleId="Appendix3Char">
    <w:name w:val="Appendix 3 Char"/>
    <w:basedOn w:val="DefaultParagraphFont"/>
    <w:link w:val="Appendix3"/>
    <w:rsid w:val="00744488"/>
    <w:rPr>
      <w:rFonts w:cstheme="minorHAnsi"/>
      <w:noProof/>
      <w:snapToGrid w:val="0"/>
      <w:color w:val="365F91"/>
      <w:sz w:val="24"/>
      <w:szCs w:val="24"/>
      <w:u w:val="single"/>
      <w:lang w:val="en-GB"/>
    </w:rPr>
  </w:style>
  <w:style w:type="paragraph" w:customStyle="1" w:styleId="StyleCaptionComplex11ptCenteredBefore0ptAfter0">
    <w:name w:val="Style Caption + (Complex) 11 pt Centered Before:  0 pt After:  0..."/>
    <w:basedOn w:val="Caption"/>
    <w:autoRedefine/>
    <w:qFormat/>
    <w:rsid w:val="00AD1B95"/>
    <w:pPr>
      <w:spacing w:after="0"/>
      <w:ind w:firstLine="11"/>
      <w:jc w:val="center"/>
    </w:pPr>
    <w:rPr>
      <w:bCs w:val="0"/>
      <w:i/>
      <w:iCs/>
      <w:snapToGrid/>
      <w:color w:val="auto"/>
      <w:sz w:val="22"/>
      <w:szCs w:val="22"/>
    </w:rPr>
  </w:style>
  <w:style w:type="paragraph" w:styleId="Caption">
    <w:name w:val="caption"/>
    <w:basedOn w:val="Normal"/>
    <w:next w:val="Normal"/>
    <w:uiPriority w:val="35"/>
    <w:qFormat/>
    <w:rsid w:val="00424624"/>
    <w:pPr>
      <w:spacing w:after="200"/>
    </w:pPr>
    <w:rPr>
      <w:rFonts w:ascii="Calibri" w:hAnsi="Calibri"/>
      <w:b/>
      <w:bCs/>
      <w:snapToGrid w:val="0"/>
      <w:color w:val="365F91"/>
      <w:sz w:val="18"/>
      <w:szCs w:val="18"/>
      <w:lang w:val="en-US" w:eastAsia="en-US" w:bidi="en-US"/>
    </w:rPr>
  </w:style>
  <w:style w:type="character" w:customStyle="1" w:styleId="Heading3Char">
    <w:name w:val="Heading 3 Char"/>
    <w:aliases w:val="numbered Char,H3 Char,H31 Char,H34 Char,H35 Char,H36 Char,H311 Char,H341 Char,H351 Char"/>
    <w:basedOn w:val="DefaultParagraphFont"/>
    <w:link w:val="Heading3"/>
    <w:uiPriority w:val="9"/>
    <w:rsid w:val="0048303B"/>
    <w:rPr>
      <w:rFonts w:ascii="Cambria" w:hAnsi="Cambria" w:cs="Times New Roman"/>
      <w:b/>
      <w:bCs/>
      <w:color w:val="4F81BD"/>
    </w:rPr>
  </w:style>
  <w:style w:type="paragraph" w:styleId="ListParagraph">
    <w:name w:val="List Paragraph"/>
    <w:aliases w:val="Odstavec1,Párrafo de lista,Puce"/>
    <w:basedOn w:val="Normal"/>
    <w:link w:val="ListParagraphChar"/>
    <w:uiPriority w:val="34"/>
    <w:qFormat/>
    <w:rsid w:val="00E61D5C"/>
    <w:pPr>
      <w:numPr>
        <w:numId w:val="6"/>
      </w:numPr>
    </w:pPr>
    <w:rPr>
      <w:rFonts w:ascii="Calibri" w:hAnsi="Calibri" w:cstheme="minorHAnsi"/>
      <w:bCs/>
      <w:snapToGrid w:val="0"/>
      <w:spacing w:val="8"/>
      <w:lang w:eastAsia="zh-CN"/>
    </w:rPr>
  </w:style>
  <w:style w:type="character" w:customStyle="1" w:styleId="Heading1Char">
    <w:name w:val="Heading 1 Char"/>
    <w:basedOn w:val="DefaultParagraphFont"/>
    <w:link w:val="Heading1"/>
    <w:uiPriority w:val="9"/>
    <w:rsid w:val="002A41AC"/>
    <w:rPr>
      <w:rFonts w:ascii="Calibri" w:eastAsiaTheme="majorEastAsia" w:hAnsi="Calibri" w:cstheme="majorBidi"/>
      <w:b/>
      <w:bCs/>
      <w:snapToGrid w:val="0"/>
      <w:color w:val="2F5496" w:themeColor="accent1" w:themeShade="BF"/>
      <w:sz w:val="28"/>
      <w:szCs w:val="28"/>
      <w:lang w:val="en-GB"/>
    </w:rPr>
  </w:style>
  <w:style w:type="paragraph" w:customStyle="1" w:styleId="Appendix1">
    <w:name w:val="Appendix 1"/>
    <w:basedOn w:val="Normal"/>
    <w:next w:val="Normal"/>
    <w:autoRedefine/>
    <w:qFormat/>
    <w:rsid w:val="00CA15E0"/>
    <w:pPr>
      <w:outlineLvl w:val="0"/>
    </w:pPr>
    <w:rPr>
      <w:b/>
      <w:bCs/>
      <w:color w:val="365F91"/>
      <w:sz w:val="24"/>
      <w:szCs w:val="24"/>
      <w:lang w:eastAsia="en-US"/>
    </w:rPr>
  </w:style>
  <w:style w:type="character" w:customStyle="1" w:styleId="Heading5Char">
    <w:name w:val="Heading 5 Char"/>
    <w:link w:val="Heading5"/>
    <w:uiPriority w:val="9"/>
    <w:rsid w:val="00EE5C61"/>
    <w:rPr>
      <w:rFonts w:ascii="Arial" w:hAnsi="Arial"/>
      <w:b/>
      <w:bCs/>
      <w:spacing w:val="8"/>
      <w:lang w:eastAsia="zh-CN"/>
    </w:rPr>
  </w:style>
  <w:style w:type="character" w:customStyle="1" w:styleId="Heading4Char">
    <w:name w:val="Heading 4 Char"/>
    <w:basedOn w:val="DefaultParagraphFont"/>
    <w:link w:val="Heading4"/>
    <w:uiPriority w:val="9"/>
    <w:rsid w:val="00051040"/>
    <w:rPr>
      <w:rFonts w:ascii="Calibri" w:hAnsi="Calibri" w:cs="Times New Roman"/>
      <w:bCs/>
      <w:color w:val="365F91"/>
      <w:lang w:val="en-GB" w:eastAsia="nb-NO"/>
    </w:rPr>
  </w:style>
  <w:style w:type="character" w:customStyle="1" w:styleId="Heading2Char">
    <w:name w:val="Heading 2 Char"/>
    <w:link w:val="Heading2"/>
    <w:uiPriority w:val="9"/>
    <w:rsid w:val="002A41AC"/>
    <w:rPr>
      <w:rFonts w:cs="Calibri"/>
      <w:b/>
      <w:bCs/>
      <w:snapToGrid w:val="0"/>
      <w:color w:val="365F91"/>
      <w:sz w:val="24"/>
      <w:szCs w:val="24"/>
      <w:lang w:val="en-GB" w:bidi="en-US"/>
    </w:rPr>
  </w:style>
  <w:style w:type="character" w:customStyle="1" w:styleId="Heading6Char">
    <w:name w:val="Heading 6 Char"/>
    <w:basedOn w:val="DefaultParagraphFont"/>
    <w:link w:val="Heading6"/>
    <w:uiPriority w:val="9"/>
    <w:rsid w:val="002A41AC"/>
    <w:rPr>
      <w:rFonts w:cs="Times New Roman"/>
      <w:i/>
      <w:iCs/>
      <w:lang w:val="en-GB" w:eastAsia="nb-NO"/>
    </w:rPr>
  </w:style>
  <w:style w:type="character" w:customStyle="1" w:styleId="Heading7Char">
    <w:name w:val="Heading 7 Char"/>
    <w:basedOn w:val="DefaultParagraphFont"/>
    <w:link w:val="Heading7"/>
    <w:uiPriority w:val="9"/>
    <w:rsid w:val="002A41AC"/>
    <w:rPr>
      <w:rFonts w:cs="Times New Roman"/>
      <w:sz w:val="20"/>
      <w:szCs w:val="20"/>
      <w:lang w:val="en-GB" w:eastAsia="nb-NO"/>
    </w:rPr>
  </w:style>
  <w:style w:type="character" w:customStyle="1" w:styleId="Heading8Char">
    <w:name w:val="Heading 8 Char"/>
    <w:basedOn w:val="DefaultParagraphFont"/>
    <w:link w:val="Heading8"/>
    <w:uiPriority w:val="9"/>
    <w:rsid w:val="002A41AC"/>
    <w:rPr>
      <w:rFonts w:cs="Times New Roman"/>
      <w:i/>
      <w:iCs/>
      <w:sz w:val="20"/>
      <w:szCs w:val="20"/>
      <w:lang w:val="en-GB" w:eastAsia="nb-NO"/>
    </w:rPr>
  </w:style>
  <w:style w:type="character" w:customStyle="1" w:styleId="Heading9Char">
    <w:name w:val="Heading 9 Char"/>
    <w:aliases w:val="(App. Title) Char"/>
    <w:basedOn w:val="DefaultParagraphFont"/>
    <w:link w:val="Heading9"/>
    <w:uiPriority w:val="9"/>
    <w:rsid w:val="002A41AC"/>
    <w:rPr>
      <w:rFonts w:cs="Times New Roman"/>
      <w:b/>
      <w:bCs/>
      <w:i/>
      <w:iCs/>
      <w:sz w:val="18"/>
      <w:szCs w:val="18"/>
      <w:lang w:val="en-GB" w:eastAsia="nb-NO"/>
    </w:rPr>
  </w:style>
  <w:style w:type="paragraph" w:styleId="Header">
    <w:name w:val="header"/>
    <w:basedOn w:val="Normal"/>
    <w:link w:val="HeaderChar"/>
    <w:rsid w:val="002A41AC"/>
    <w:pPr>
      <w:tabs>
        <w:tab w:val="center" w:pos="4153"/>
        <w:tab w:val="right" w:pos="8306"/>
      </w:tabs>
    </w:pPr>
  </w:style>
  <w:style w:type="character" w:customStyle="1" w:styleId="HeaderChar">
    <w:name w:val="Header Char"/>
    <w:basedOn w:val="DefaultParagraphFont"/>
    <w:link w:val="Header"/>
    <w:rsid w:val="002A41AC"/>
    <w:rPr>
      <w:rFonts w:cs="Times New Roman"/>
      <w:lang w:val="en-GB" w:eastAsia="nb-NO"/>
    </w:rPr>
  </w:style>
  <w:style w:type="character" w:styleId="Hyperlink">
    <w:name w:val="Hyperlink"/>
    <w:uiPriority w:val="99"/>
    <w:rsid w:val="002A41AC"/>
    <w:rPr>
      <w:color w:val="0000FF"/>
      <w:u w:val="single"/>
    </w:rPr>
  </w:style>
  <w:style w:type="paragraph" w:styleId="PlainText">
    <w:name w:val="Plain Text"/>
    <w:basedOn w:val="Normal"/>
    <w:link w:val="PlainTextChar"/>
    <w:uiPriority w:val="99"/>
    <w:rsid w:val="002A41AC"/>
    <w:rPr>
      <w:rFonts w:ascii="Courier New" w:hAnsi="Courier New"/>
      <w:sz w:val="20"/>
      <w:szCs w:val="20"/>
    </w:rPr>
  </w:style>
  <w:style w:type="character" w:customStyle="1" w:styleId="PlainTextChar">
    <w:name w:val="Plain Text Char"/>
    <w:basedOn w:val="DefaultParagraphFont"/>
    <w:link w:val="PlainText"/>
    <w:uiPriority w:val="99"/>
    <w:rsid w:val="002A41AC"/>
    <w:rPr>
      <w:rFonts w:ascii="Courier New" w:hAnsi="Courier New" w:cs="Times New Roman"/>
      <w:sz w:val="20"/>
      <w:szCs w:val="20"/>
      <w:lang w:val="en-GB" w:eastAsia="nb-NO"/>
    </w:rPr>
  </w:style>
  <w:style w:type="paragraph" w:styleId="Footer">
    <w:name w:val="footer"/>
    <w:basedOn w:val="Normal"/>
    <w:link w:val="FooterChar"/>
    <w:uiPriority w:val="99"/>
    <w:rsid w:val="002A41AC"/>
    <w:pPr>
      <w:tabs>
        <w:tab w:val="center" w:pos="4153"/>
        <w:tab w:val="right" w:pos="8306"/>
      </w:tabs>
    </w:pPr>
  </w:style>
  <w:style w:type="character" w:customStyle="1" w:styleId="FooterChar">
    <w:name w:val="Footer Char"/>
    <w:basedOn w:val="DefaultParagraphFont"/>
    <w:link w:val="Footer"/>
    <w:uiPriority w:val="99"/>
    <w:rsid w:val="002A41AC"/>
    <w:rPr>
      <w:rFonts w:cs="Times New Roman"/>
      <w:lang w:val="en-GB" w:eastAsia="nb-NO"/>
    </w:rPr>
  </w:style>
  <w:style w:type="paragraph" w:customStyle="1" w:styleId="BodyText1">
    <w:name w:val="Body Text1"/>
    <w:rsid w:val="002A41AC"/>
    <w:pPr>
      <w:autoSpaceDE w:val="0"/>
      <w:autoSpaceDN w:val="0"/>
      <w:spacing w:after="0"/>
      <w:ind w:left="0" w:firstLine="0"/>
    </w:pPr>
    <w:rPr>
      <w:rFonts w:ascii="CG Times" w:hAnsi="CG Times" w:cs="Times New Roman"/>
      <w:color w:val="000000"/>
      <w:sz w:val="24"/>
      <w:szCs w:val="24"/>
      <w:lang w:eastAsia="nb-NO"/>
    </w:rPr>
  </w:style>
  <w:style w:type="paragraph" w:styleId="BodyTextIndent">
    <w:name w:val="Body Text Indent"/>
    <w:basedOn w:val="Normal"/>
    <w:link w:val="BodyTextIndentChar"/>
    <w:rsid w:val="002A41AC"/>
    <w:pPr>
      <w:ind w:left="851"/>
    </w:pPr>
  </w:style>
  <w:style w:type="character" w:customStyle="1" w:styleId="BodyTextIndentChar">
    <w:name w:val="Body Text Indent Char"/>
    <w:basedOn w:val="DefaultParagraphFont"/>
    <w:link w:val="BodyTextIndent"/>
    <w:rsid w:val="002A41AC"/>
    <w:rPr>
      <w:rFonts w:cs="Times New Roman"/>
      <w:lang w:val="en-GB" w:eastAsia="nb-NO"/>
    </w:rPr>
  </w:style>
  <w:style w:type="paragraph" w:customStyle="1" w:styleId="Vedlegg">
    <w:name w:val="Vedlegg"/>
    <w:basedOn w:val="Normal"/>
    <w:rsid w:val="002A41AC"/>
    <w:pPr>
      <w:ind w:left="360" w:hanging="360"/>
    </w:pPr>
    <w:rPr>
      <w:b/>
      <w:bCs/>
      <w:smallCaps/>
      <w:sz w:val="28"/>
      <w:szCs w:val="28"/>
    </w:rPr>
  </w:style>
  <w:style w:type="character" w:styleId="FollowedHyperlink">
    <w:name w:val="FollowedHyperlink"/>
    <w:rsid w:val="002A41AC"/>
    <w:rPr>
      <w:color w:val="800080"/>
      <w:u w:val="single"/>
    </w:rPr>
  </w:style>
  <w:style w:type="paragraph" w:customStyle="1" w:styleId="TRnormal">
    <w:name w:val="TR normal"/>
    <w:basedOn w:val="Normal"/>
    <w:rsid w:val="002A41AC"/>
    <w:pPr>
      <w:suppressLineNumbers/>
      <w:spacing w:before="240"/>
    </w:pPr>
    <w:rPr>
      <w:sz w:val="20"/>
      <w:szCs w:val="20"/>
    </w:rPr>
  </w:style>
  <w:style w:type="paragraph" w:styleId="FootnoteText">
    <w:name w:val="footnote text"/>
    <w:basedOn w:val="Normal"/>
    <w:link w:val="FootnoteTextChar"/>
    <w:qFormat/>
    <w:rsid w:val="002A41AC"/>
    <w:rPr>
      <w:sz w:val="20"/>
      <w:szCs w:val="20"/>
    </w:rPr>
  </w:style>
  <w:style w:type="character" w:customStyle="1" w:styleId="FootnoteTextChar">
    <w:name w:val="Footnote Text Char"/>
    <w:basedOn w:val="DefaultParagraphFont"/>
    <w:link w:val="FootnoteText"/>
    <w:rsid w:val="002A41AC"/>
    <w:rPr>
      <w:rFonts w:cs="Times New Roman"/>
      <w:sz w:val="20"/>
      <w:szCs w:val="20"/>
      <w:lang w:val="en-GB" w:eastAsia="nb-NO"/>
    </w:rPr>
  </w:style>
  <w:style w:type="paragraph" w:styleId="BodyTextIndent2">
    <w:name w:val="Body Text Indent 2"/>
    <w:basedOn w:val="Normal"/>
    <w:link w:val="BodyTextIndent2Char"/>
    <w:rsid w:val="002A41AC"/>
    <w:pPr>
      <w:ind w:left="567"/>
    </w:pPr>
  </w:style>
  <w:style w:type="character" w:customStyle="1" w:styleId="BodyTextIndent2Char">
    <w:name w:val="Body Text Indent 2 Char"/>
    <w:basedOn w:val="DefaultParagraphFont"/>
    <w:link w:val="BodyTextIndent2"/>
    <w:rsid w:val="002A41AC"/>
    <w:rPr>
      <w:rFonts w:cs="Times New Roman"/>
      <w:lang w:val="en-GB" w:eastAsia="nb-NO"/>
    </w:rPr>
  </w:style>
  <w:style w:type="paragraph" w:styleId="List">
    <w:name w:val="List"/>
    <w:basedOn w:val="Normal"/>
    <w:rsid w:val="002A41AC"/>
    <w:pPr>
      <w:ind w:left="283" w:hanging="283"/>
    </w:pPr>
    <w:rPr>
      <w:rFonts w:ascii="Arial" w:hAnsi="Arial" w:cs="Arial"/>
      <w:sz w:val="20"/>
      <w:szCs w:val="20"/>
    </w:rPr>
  </w:style>
  <w:style w:type="paragraph" w:customStyle="1" w:styleId="EdiFix">
    <w:name w:val="EdiFix"/>
    <w:rsid w:val="002A41AC"/>
    <w:pPr>
      <w:widowControl w:val="0"/>
      <w:autoSpaceDE w:val="0"/>
      <w:autoSpaceDN w:val="0"/>
      <w:spacing w:after="0"/>
      <w:ind w:left="0" w:firstLine="0"/>
    </w:pPr>
    <w:rPr>
      <w:rFonts w:ascii="Arial" w:hAnsi="Arial" w:cs="Arial"/>
      <w:sz w:val="24"/>
      <w:szCs w:val="24"/>
      <w:lang w:val="de-DE" w:eastAsia="nb-NO"/>
    </w:rPr>
  </w:style>
  <w:style w:type="paragraph" w:styleId="BodyText">
    <w:name w:val="Body Text"/>
    <w:basedOn w:val="Normal"/>
    <w:link w:val="BodyTextChar"/>
    <w:rsid w:val="002A41AC"/>
    <w:rPr>
      <w:rFonts w:ascii="Arial" w:hAnsi="Arial" w:cs="Arial"/>
      <w:sz w:val="24"/>
      <w:szCs w:val="24"/>
    </w:rPr>
  </w:style>
  <w:style w:type="character" w:customStyle="1" w:styleId="BodyTextChar">
    <w:name w:val="Body Text Char"/>
    <w:basedOn w:val="DefaultParagraphFont"/>
    <w:link w:val="BodyText"/>
    <w:rsid w:val="002A41AC"/>
    <w:rPr>
      <w:rFonts w:ascii="Arial" w:hAnsi="Arial" w:cs="Arial"/>
      <w:sz w:val="24"/>
      <w:szCs w:val="24"/>
      <w:lang w:val="en-GB" w:eastAsia="nb-NO"/>
    </w:rPr>
  </w:style>
  <w:style w:type="paragraph" w:styleId="ListBullet">
    <w:name w:val="List Bullet"/>
    <w:basedOn w:val="Normal"/>
    <w:autoRedefine/>
    <w:rsid w:val="002A41AC"/>
    <w:pPr>
      <w:tabs>
        <w:tab w:val="num" w:pos="495"/>
      </w:tabs>
      <w:ind w:left="360" w:hanging="360"/>
    </w:pPr>
    <w:rPr>
      <w:rFonts w:ascii="Arial" w:hAnsi="Arial" w:cs="Arial"/>
      <w:sz w:val="20"/>
      <w:szCs w:val="20"/>
    </w:rPr>
  </w:style>
  <w:style w:type="paragraph" w:styleId="BodyTextIndent3">
    <w:name w:val="Body Text Indent 3"/>
    <w:basedOn w:val="Normal"/>
    <w:link w:val="BodyTextIndent3Char"/>
    <w:rsid w:val="002A41AC"/>
    <w:pPr>
      <w:ind w:left="993" w:hanging="993"/>
    </w:pPr>
  </w:style>
  <w:style w:type="character" w:customStyle="1" w:styleId="BodyTextIndent3Char">
    <w:name w:val="Body Text Indent 3 Char"/>
    <w:basedOn w:val="DefaultParagraphFont"/>
    <w:link w:val="BodyTextIndent3"/>
    <w:rsid w:val="002A41AC"/>
    <w:rPr>
      <w:rFonts w:cs="Times New Roman"/>
      <w:lang w:val="en-GB" w:eastAsia="nb-NO"/>
    </w:rPr>
  </w:style>
  <w:style w:type="paragraph" w:styleId="TOC1">
    <w:name w:val="toc 1"/>
    <w:basedOn w:val="Normal"/>
    <w:next w:val="Normal"/>
    <w:autoRedefine/>
    <w:semiHidden/>
    <w:rsid w:val="002A41AC"/>
  </w:style>
  <w:style w:type="character" w:customStyle="1" w:styleId="Personligskrivestil">
    <w:name w:val="Personlig skrivestil"/>
    <w:rsid w:val="002A41AC"/>
    <w:rPr>
      <w:rFonts w:ascii="Arial" w:hAnsi="Arial" w:cs="Arial"/>
      <w:color w:val="auto"/>
      <w:sz w:val="20"/>
      <w:szCs w:val="20"/>
    </w:rPr>
  </w:style>
  <w:style w:type="paragraph" w:styleId="BlockText">
    <w:name w:val="Block Text"/>
    <w:basedOn w:val="Normal"/>
    <w:rsid w:val="002A41AC"/>
    <w:pPr>
      <w:tabs>
        <w:tab w:val="left" w:pos="2228"/>
        <w:tab w:val="left" w:pos="10323"/>
      </w:tabs>
      <w:adjustRightInd w:val="0"/>
      <w:ind w:left="2268" w:right="144" w:hanging="1701"/>
    </w:pPr>
  </w:style>
  <w:style w:type="character" w:customStyle="1" w:styleId="EpostStil1111">
    <w:name w:val="EpostStil1111"/>
    <w:rsid w:val="002A41AC"/>
    <w:rPr>
      <w:rFonts w:ascii="Arial" w:hAnsi="Arial" w:cs="Arial"/>
      <w:color w:val="000000"/>
      <w:sz w:val="20"/>
      <w:szCs w:val="20"/>
    </w:rPr>
  </w:style>
  <w:style w:type="paragraph" w:customStyle="1" w:styleId="Appendix20">
    <w:name w:val="Appendix 2"/>
    <w:basedOn w:val="Normal"/>
    <w:link w:val="Appendix2Char"/>
    <w:qFormat/>
    <w:rsid w:val="002A41AC"/>
    <w:pPr>
      <w:tabs>
        <w:tab w:val="num" w:pos="860"/>
      </w:tabs>
      <w:ind w:left="860" w:hanging="576"/>
      <w:outlineLvl w:val="1"/>
    </w:pPr>
    <w:rPr>
      <w:b/>
      <w:snapToGrid w:val="0"/>
      <w:color w:val="365F91"/>
      <w:lang w:eastAsia="en-US"/>
    </w:rPr>
  </w:style>
  <w:style w:type="paragraph" w:customStyle="1" w:styleId="Appendix2">
    <w:name w:val="Appendix2"/>
    <w:basedOn w:val="Heading2"/>
    <w:next w:val="Normal"/>
    <w:rsid w:val="002A41AC"/>
    <w:pPr>
      <w:keepLines w:val="0"/>
      <w:numPr>
        <w:numId w:val="10"/>
      </w:numPr>
      <w:tabs>
        <w:tab w:val="num" w:pos="360"/>
      </w:tabs>
      <w:spacing w:before="0" w:line="240" w:lineRule="auto"/>
      <w:ind w:left="227" w:hanging="227"/>
    </w:pPr>
    <w:rPr>
      <w:rFonts w:cs="Times New Roman"/>
      <w:b w:val="0"/>
      <w:bCs w:val="0"/>
      <w:i/>
      <w:smallCaps/>
      <w:sz w:val="22"/>
      <w:szCs w:val="20"/>
      <w:lang w:bidi="ar-SA"/>
    </w:rPr>
  </w:style>
  <w:style w:type="character" w:customStyle="1" w:styleId="OveNesvik">
    <w:name w:val="Ove Nesvik"/>
    <w:semiHidden/>
    <w:rsid w:val="002A41AC"/>
    <w:rPr>
      <w:rFonts w:ascii="Arial" w:hAnsi="Arial" w:cs="Arial"/>
      <w:color w:val="000000"/>
      <w:sz w:val="20"/>
    </w:rPr>
  </w:style>
  <w:style w:type="paragraph" w:styleId="BodyText2">
    <w:name w:val="Body Text 2"/>
    <w:basedOn w:val="Normal"/>
    <w:link w:val="BodyText2Char"/>
    <w:rsid w:val="002A41AC"/>
    <w:rPr>
      <w:snapToGrid w:val="0"/>
      <w:color w:val="000000"/>
    </w:rPr>
  </w:style>
  <w:style w:type="character" w:customStyle="1" w:styleId="BodyText2Char">
    <w:name w:val="Body Text 2 Char"/>
    <w:basedOn w:val="DefaultParagraphFont"/>
    <w:link w:val="BodyText2"/>
    <w:rsid w:val="002A41AC"/>
    <w:rPr>
      <w:rFonts w:cs="Times New Roman"/>
      <w:snapToGrid w:val="0"/>
      <w:color w:val="000000"/>
      <w:lang w:val="en-GB" w:eastAsia="nb-NO"/>
    </w:rPr>
  </w:style>
  <w:style w:type="paragraph" w:styleId="NormalWeb">
    <w:name w:val="Normal (Web)"/>
    <w:basedOn w:val="Normal"/>
    <w:uiPriority w:val="99"/>
    <w:rsid w:val="002A41AC"/>
    <w:pPr>
      <w:autoSpaceDE/>
      <w:autoSpaceDN/>
      <w:spacing w:before="100" w:beforeAutospacing="1" w:after="100" w:afterAutospacing="1"/>
    </w:pPr>
    <w:rPr>
      <w:rFonts w:eastAsia="SimSun"/>
      <w:sz w:val="24"/>
      <w:szCs w:val="24"/>
      <w:lang w:eastAsia="zh-CN"/>
    </w:rPr>
  </w:style>
  <w:style w:type="paragraph" w:customStyle="1" w:styleId="berschrift1">
    <w:name w:val="Überschrift1"/>
    <w:basedOn w:val="Normal"/>
    <w:next w:val="Normal"/>
    <w:rsid w:val="002A41AC"/>
    <w:pPr>
      <w:adjustRightInd w:val="0"/>
    </w:pPr>
    <w:rPr>
      <w:rFonts w:ascii="Arial" w:hAnsi="Arial"/>
      <w:sz w:val="20"/>
      <w:szCs w:val="24"/>
      <w:lang w:val="de-DE" w:eastAsia="de-DE"/>
    </w:rPr>
  </w:style>
  <w:style w:type="character" w:styleId="Strong">
    <w:name w:val="Strong"/>
    <w:qFormat/>
    <w:rsid w:val="002A41AC"/>
    <w:rPr>
      <w:b/>
      <w:bCs/>
    </w:rPr>
  </w:style>
  <w:style w:type="paragraph" w:styleId="BalloonText">
    <w:name w:val="Balloon Text"/>
    <w:basedOn w:val="Normal"/>
    <w:link w:val="BalloonTextChar"/>
    <w:semiHidden/>
    <w:rsid w:val="002A41AC"/>
    <w:rPr>
      <w:rFonts w:ascii="Tahoma" w:hAnsi="Tahoma" w:cs="Tahoma"/>
      <w:sz w:val="16"/>
      <w:szCs w:val="16"/>
    </w:rPr>
  </w:style>
  <w:style w:type="character" w:customStyle="1" w:styleId="BalloonTextChar">
    <w:name w:val="Balloon Text Char"/>
    <w:basedOn w:val="DefaultParagraphFont"/>
    <w:link w:val="BalloonText"/>
    <w:semiHidden/>
    <w:rsid w:val="002A41AC"/>
    <w:rPr>
      <w:rFonts w:ascii="Tahoma" w:hAnsi="Tahoma" w:cs="Tahoma"/>
      <w:sz w:val="16"/>
      <w:szCs w:val="16"/>
      <w:lang w:val="en-GB" w:eastAsia="nb-NO"/>
    </w:rPr>
  </w:style>
  <w:style w:type="character" w:customStyle="1" w:styleId="normal1">
    <w:name w:val="normal1"/>
    <w:rsid w:val="002A41AC"/>
    <w:rPr>
      <w:rFonts w:ascii="Arial" w:hAnsi="Arial" w:cs="Arial" w:hint="default"/>
      <w:strike w:val="0"/>
      <w:dstrike w:val="0"/>
      <w:color w:val="000000"/>
      <w:sz w:val="14"/>
      <w:szCs w:val="14"/>
      <w:u w:val="none"/>
      <w:effect w:val="none"/>
    </w:rPr>
  </w:style>
  <w:style w:type="paragraph" w:customStyle="1" w:styleId="bhoteladdress3">
    <w:name w:val="b_hoteladdress3"/>
    <w:basedOn w:val="Normal"/>
    <w:rsid w:val="002A41AC"/>
    <w:pPr>
      <w:autoSpaceDE/>
      <w:autoSpaceDN/>
      <w:spacing w:after="432"/>
    </w:pPr>
    <w:rPr>
      <w:rFonts w:ascii="Arial" w:eastAsia="SimSun" w:hAnsi="Arial" w:cs="Arial"/>
      <w:color w:val="000000"/>
      <w:sz w:val="20"/>
      <w:szCs w:val="20"/>
      <w:lang w:eastAsia="zh-CN"/>
    </w:rPr>
  </w:style>
  <w:style w:type="paragraph" w:customStyle="1" w:styleId="Heading2B">
    <w:name w:val="Heading 2B"/>
    <w:basedOn w:val="Heading1"/>
    <w:next w:val="Normal"/>
    <w:rsid w:val="002A41AC"/>
    <w:pPr>
      <w:keepLines w:val="0"/>
      <w:numPr>
        <w:numId w:val="12"/>
      </w:numPr>
      <w:spacing w:before="0" w:after="120"/>
    </w:pPr>
    <w:rPr>
      <w:rFonts w:asciiTheme="minorHAnsi" w:eastAsia="Times New Roman" w:hAnsiTheme="minorHAnsi" w:cs="Times New Roman"/>
      <w:i/>
      <w:iCs/>
      <w:color w:val="2D5F9A"/>
      <w:kern w:val="28"/>
      <w:sz w:val="22"/>
      <w:szCs w:val="22"/>
      <w:lang w:eastAsia="nb-NO"/>
    </w:rPr>
  </w:style>
  <w:style w:type="table" w:styleId="TableGrid">
    <w:name w:val="Table Grid"/>
    <w:basedOn w:val="TableNormal"/>
    <w:rsid w:val="002A41AC"/>
    <w:pPr>
      <w:spacing w:after="0"/>
      <w:ind w:left="0" w:firstLine="0"/>
    </w:pPr>
    <w:rPr>
      <w:rFonts w:ascii="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2A41AC"/>
    <w:pPr>
      <w:numPr>
        <w:numId w:val="13"/>
      </w:numPr>
      <w:tabs>
        <w:tab w:val="clear" w:pos="360"/>
        <w:tab w:val="num" w:pos="926"/>
      </w:tabs>
      <w:autoSpaceDE/>
      <w:autoSpaceDN/>
      <w:ind w:left="926"/>
    </w:pPr>
    <w:rPr>
      <w:rFonts w:ascii="Arial" w:hAnsi="Arial" w:cs="Arial"/>
      <w:sz w:val="20"/>
      <w:szCs w:val="20"/>
      <w:lang w:val="nb-NO" w:eastAsia="en-US"/>
    </w:rPr>
  </w:style>
  <w:style w:type="character" w:styleId="CommentReference">
    <w:name w:val="annotation reference"/>
    <w:unhideWhenUsed/>
    <w:rsid w:val="002A41AC"/>
    <w:rPr>
      <w:sz w:val="16"/>
      <w:szCs w:val="16"/>
    </w:rPr>
  </w:style>
  <w:style w:type="paragraph" w:styleId="CommentText">
    <w:name w:val="annotation text"/>
    <w:basedOn w:val="Normal"/>
    <w:link w:val="CommentTextChar"/>
    <w:uiPriority w:val="99"/>
    <w:unhideWhenUsed/>
    <w:rsid w:val="002A41AC"/>
    <w:rPr>
      <w:sz w:val="20"/>
      <w:szCs w:val="20"/>
    </w:rPr>
  </w:style>
  <w:style w:type="character" w:customStyle="1" w:styleId="CommentTextChar">
    <w:name w:val="Comment Text Char"/>
    <w:basedOn w:val="DefaultParagraphFont"/>
    <w:link w:val="CommentText"/>
    <w:uiPriority w:val="99"/>
    <w:rsid w:val="002A41AC"/>
    <w:rPr>
      <w:rFonts w:cs="Times New Roman"/>
      <w:sz w:val="20"/>
      <w:szCs w:val="20"/>
      <w:lang w:val="en-GB" w:eastAsia="nb-NO"/>
    </w:rPr>
  </w:style>
  <w:style w:type="paragraph" w:styleId="CommentSubject">
    <w:name w:val="annotation subject"/>
    <w:basedOn w:val="CommentText"/>
    <w:next w:val="CommentText"/>
    <w:link w:val="CommentSubjectChar"/>
    <w:uiPriority w:val="99"/>
    <w:semiHidden/>
    <w:unhideWhenUsed/>
    <w:rsid w:val="002A41AC"/>
    <w:rPr>
      <w:b/>
      <w:bCs/>
    </w:rPr>
  </w:style>
  <w:style w:type="character" w:customStyle="1" w:styleId="CommentSubjectChar">
    <w:name w:val="Comment Subject Char"/>
    <w:basedOn w:val="CommentTextChar"/>
    <w:link w:val="CommentSubject"/>
    <w:uiPriority w:val="99"/>
    <w:semiHidden/>
    <w:rsid w:val="002A41AC"/>
    <w:rPr>
      <w:rFonts w:cs="Times New Roman"/>
      <w:b/>
      <w:bCs/>
      <w:sz w:val="20"/>
      <w:szCs w:val="20"/>
      <w:lang w:val="en-GB" w:eastAsia="nb-NO"/>
    </w:rPr>
  </w:style>
  <w:style w:type="character" w:styleId="FootnoteReference">
    <w:name w:val="footnote reference"/>
    <w:basedOn w:val="DefaultParagraphFont"/>
    <w:unhideWhenUsed/>
    <w:qFormat/>
    <w:rsid w:val="002A41AC"/>
    <w:rPr>
      <w:vertAlign w:val="superscript"/>
    </w:rPr>
  </w:style>
  <w:style w:type="paragraph" w:styleId="Revision">
    <w:name w:val="Revision"/>
    <w:hidden/>
    <w:uiPriority w:val="99"/>
    <w:semiHidden/>
    <w:rsid w:val="002A41AC"/>
    <w:pPr>
      <w:spacing w:after="0"/>
      <w:ind w:left="0" w:firstLine="0"/>
    </w:pPr>
    <w:rPr>
      <w:rFonts w:cs="Times New Roman"/>
      <w:lang w:val="en-GB" w:eastAsia="nb-NO"/>
    </w:rPr>
  </w:style>
  <w:style w:type="table" w:customStyle="1" w:styleId="TableGrid1">
    <w:name w:val="Table Grid1"/>
    <w:basedOn w:val="TableNormal"/>
    <w:next w:val="TableGrid"/>
    <w:uiPriority w:val="59"/>
    <w:rsid w:val="002A41AC"/>
    <w:pPr>
      <w:autoSpaceDE w:val="0"/>
      <w:autoSpaceDN w:val="0"/>
      <w:spacing w:after="0"/>
      <w:ind w:left="0" w:firstLine="0"/>
    </w:pPr>
    <w:rPr>
      <w:rFonts w:ascii="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2Char">
    <w:name w:val="Appendix 2 Char"/>
    <w:basedOn w:val="DefaultParagraphFont"/>
    <w:link w:val="Appendix20"/>
    <w:rsid w:val="002A41AC"/>
    <w:rPr>
      <w:rFonts w:cs="Times New Roman"/>
      <w:b/>
      <w:snapToGrid w:val="0"/>
      <w:color w:val="365F91"/>
      <w:lang w:val="en-GB"/>
    </w:rPr>
  </w:style>
  <w:style w:type="paragraph" w:styleId="TOC2">
    <w:name w:val="toc 2"/>
    <w:basedOn w:val="Normal"/>
    <w:next w:val="Normal"/>
    <w:autoRedefine/>
    <w:uiPriority w:val="39"/>
    <w:semiHidden/>
    <w:unhideWhenUsed/>
    <w:rsid w:val="002A41AC"/>
    <w:pPr>
      <w:spacing w:after="100"/>
      <w:ind w:left="220"/>
    </w:pPr>
  </w:style>
  <w:style w:type="character" w:styleId="UnresolvedMention">
    <w:name w:val="Unresolved Mention"/>
    <w:basedOn w:val="DefaultParagraphFont"/>
    <w:uiPriority w:val="99"/>
    <w:semiHidden/>
    <w:unhideWhenUsed/>
    <w:rsid w:val="002A41AC"/>
    <w:rPr>
      <w:color w:val="808080"/>
      <w:shd w:val="clear" w:color="auto" w:fill="E6E6E6"/>
    </w:rPr>
  </w:style>
  <w:style w:type="paragraph" w:customStyle="1" w:styleId="Atributt">
    <w:name w:val="Atributt"/>
    <w:basedOn w:val="Normal"/>
    <w:rsid w:val="002A41AC"/>
    <w:pPr>
      <w:autoSpaceDE/>
      <w:autoSpaceDN/>
      <w:spacing w:before="120" w:after="0"/>
    </w:pPr>
    <w:rPr>
      <w:rFonts w:ascii="Arial" w:hAnsi="Arial"/>
      <w:b/>
      <w:szCs w:val="20"/>
      <w:lang w:eastAsia="en-US"/>
    </w:rPr>
  </w:style>
  <w:style w:type="character" w:customStyle="1" w:styleId="ListParagraphChar">
    <w:name w:val="List Paragraph Char"/>
    <w:aliases w:val="Odstavec1 Char,Párrafo de lista Char,Puce Char"/>
    <w:basedOn w:val="DefaultParagraphFont"/>
    <w:link w:val="ListParagraph"/>
    <w:uiPriority w:val="34"/>
    <w:rsid w:val="002A41AC"/>
    <w:rPr>
      <w:rFonts w:ascii="Calibri" w:hAnsi="Calibri" w:cstheme="minorHAnsi"/>
      <w:bCs/>
      <w:spacing w:val="8"/>
      <w:lang w:val="en-GB" w:eastAsia="zh-CN"/>
    </w:rPr>
  </w:style>
  <w:style w:type="paragraph" w:customStyle="1" w:styleId="Default">
    <w:name w:val="Default"/>
    <w:rsid w:val="002A41AC"/>
    <w:pPr>
      <w:autoSpaceDE w:val="0"/>
      <w:autoSpaceDN w:val="0"/>
      <w:adjustRightInd w:val="0"/>
      <w:spacing w:after="0"/>
      <w:ind w:left="0" w:firstLine="0"/>
    </w:pPr>
    <w:rPr>
      <w:rFonts w:ascii="Arial" w:hAnsi="Arial" w:cs="Arial"/>
      <w:color w:val="000000"/>
      <w:sz w:val="24"/>
      <w:szCs w:val="24"/>
      <w:lang w:val="nl-NL" w:eastAsia="nl-NL"/>
    </w:rPr>
  </w:style>
  <w:style w:type="paragraph" w:customStyle="1" w:styleId="Kop11">
    <w:name w:val="Kop 11"/>
    <w:basedOn w:val="Normal"/>
    <w:rsid w:val="002A41AC"/>
    <w:pPr>
      <w:autoSpaceDE/>
      <w:autoSpaceDN/>
      <w:spacing w:after="0"/>
    </w:pPr>
    <w:rPr>
      <w:rFonts w:ascii="Calibri" w:eastAsiaTheme="minorHAnsi" w:hAnsi="Calibri" w:cs="Calibri"/>
      <w:lang w:eastAsia="en-US"/>
    </w:rPr>
  </w:style>
  <w:style w:type="character" w:customStyle="1" w:styleId="cf01">
    <w:name w:val="cf01"/>
    <w:basedOn w:val="DefaultParagraphFont"/>
    <w:rsid w:val="002A41AC"/>
    <w:rPr>
      <w:rFonts w:ascii="Segoe UI" w:hAnsi="Segoe UI" w:cs="Segoe UI" w:hint="default"/>
      <w:sz w:val="18"/>
      <w:szCs w:val="18"/>
    </w:rPr>
  </w:style>
  <w:style w:type="paragraph" w:customStyle="1" w:styleId="pf0">
    <w:name w:val="pf0"/>
    <w:basedOn w:val="Normal"/>
    <w:rsid w:val="002A41AC"/>
    <w:pPr>
      <w:autoSpaceDE/>
      <w:autoSpaceDN/>
      <w:spacing w:before="100" w:beforeAutospacing="1" w:after="100" w:afterAutospacing="1"/>
    </w:pPr>
    <w:rPr>
      <w:rFonts w:ascii="Times New Roman" w:hAnsi="Times New Roman"/>
      <w:sz w:val="24"/>
      <w:szCs w:val="24"/>
      <w:lang w:eastAsia="en-GB"/>
    </w:rPr>
  </w:style>
  <w:style w:type="character" w:customStyle="1" w:styleId="cf21">
    <w:name w:val="cf21"/>
    <w:basedOn w:val="DefaultParagraphFont"/>
    <w:rsid w:val="006D3E47"/>
    <w:rPr>
      <w:rFonts w:ascii="Segoe UI" w:hAnsi="Segoe UI" w:cs="Segoe UI" w:hint="default"/>
      <w:strike/>
      <w:sz w:val="18"/>
      <w:szCs w:val="18"/>
    </w:rPr>
  </w:style>
  <w:style w:type="character" w:customStyle="1" w:styleId="cf31">
    <w:name w:val="cf31"/>
    <w:basedOn w:val="DefaultParagraphFont"/>
    <w:rsid w:val="006D3E47"/>
    <w:rPr>
      <w:rFonts w:ascii="Segoe UI" w:hAnsi="Segoe UI" w:cs="Segoe UI" w:hint="default"/>
      <w:color w:val="C00000"/>
      <w:sz w:val="18"/>
      <w:szCs w:val="18"/>
    </w:rPr>
  </w:style>
  <w:style w:type="character" w:customStyle="1" w:styleId="cf41">
    <w:name w:val="cf41"/>
    <w:basedOn w:val="DefaultParagraphFont"/>
    <w:rsid w:val="006D3E4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74371">
      <w:bodyDiv w:val="1"/>
      <w:marLeft w:val="0"/>
      <w:marRight w:val="0"/>
      <w:marTop w:val="0"/>
      <w:marBottom w:val="0"/>
      <w:divBdr>
        <w:top w:val="none" w:sz="0" w:space="0" w:color="auto"/>
        <w:left w:val="none" w:sz="0" w:space="0" w:color="auto"/>
        <w:bottom w:val="none" w:sz="0" w:space="0" w:color="auto"/>
        <w:right w:val="none" w:sz="0" w:space="0" w:color="auto"/>
      </w:divBdr>
    </w:div>
    <w:div w:id="9795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2EE8-47CB-498D-A9D9-B03028C9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Nesvik</dc:creator>
  <cp:keywords/>
  <dc:description/>
  <cp:lastModifiedBy>Ove Nesvik</cp:lastModifiedBy>
  <cp:revision>4</cp:revision>
  <dcterms:created xsi:type="dcterms:W3CDTF">2023-06-12T13:15:00Z</dcterms:created>
  <dcterms:modified xsi:type="dcterms:W3CDTF">2023-06-15T07:30:00Z</dcterms:modified>
</cp:coreProperties>
</file>